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18B" w:rsidRPr="00D2718B" w:rsidRDefault="00D2718B" w:rsidP="00D2718B">
      <w:pPr>
        <w:spacing w:after="0" w:line="240" w:lineRule="auto"/>
        <w:jc w:val="center"/>
        <w:rPr>
          <w:rFonts w:ascii="Arial" w:eastAsia="Times New Roman" w:hAnsi="Arial" w:cs="Arial"/>
          <w:color w:val="000000"/>
          <w:sz w:val="18"/>
          <w:szCs w:val="18"/>
          <w:lang w:eastAsia="es-CO"/>
        </w:rPr>
      </w:pPr>
      <w:r w:rsidRPr="00D2718B">
        <w:rPr>
          <w:rFonts w:ascii="Segoe UI" w:eastAsia="Times New Roman" w:hAnsi="Segoe UI" w:cs="Segoe UI"/>
          <w:b/>
          <w:bCs/>
          <w:color w:val="0000FF"/>
          <w:sz w:val="28"/>
          <w:szCs w:val="28"/>
          <w:lang w:eastAsia="es-CO"/>
        </w:rPr>
        <w:t>CONSEJO DE ESTADO</w:t>
      </w:r>
    </w:p>
    <w:p w:rsidR="00D2718B" w:rsidRPr="00D2718B" w:rsidRDefault="00D2718B" w:rsidP="00D2718B">
      <w:pPr>
        <w:spacing w:after="0" w:line="240" w:lineRule="auto"/>
        <w:jc w:val="center"/>
        <w:rPr>
          <w:rFonts w:ascii="Arial" w:eastAsia="Times New Roman" w:hAnsi="Arial" w:cs="Arial"/>
          <w:color w:val="000000"/>
          <w:sz w:val="18"/>
          <w:szCs w:val="18"/>
          <w:lang w:eastAsia="es-CO"/>
        </w:rPr>
      </w:pPr>
      <w:r w:rsidRPr="00D2718B">
        <w:rPr>
          <w:rFonts w:ascii="Segoe UI" w:eastAsia="Times New Roman" w:hAnsi="Segoe UI" w:cs="Segoe UI"/>
          <w:b/>
          <w:bCs/>
          <w:color w:val="0000FF"/>
          <w:sz w:val="28"/>
          <w:szCs w:val="28"/>
          <w:lang w:eastAsia="es-CO"/>
        </w:rPr>
        <w:t>SALA DE LO CONTENCIOSO ADMINISTRATIVO</w:t>
      </w:r>
    </w:p>
    <w:p w:rsidR="00D2718B" w:rsidRPr="00D2718B" w:rsidRDefault="00D2718B" w:rsidP="00D2718B">
      <w:pPr>
        <w:spacing w:after="0" w:line="240" w:lineRule="auto"/>
        <w:jc w:val="center"/>
        <w:rPr>
          <w:rFonts w:ascii="Arial" w:eastAsia="Times New Roman" w:hAnsi="Arial" w:cs="Arial"/>
          <w:color w:val="000000"/>
          <w:sz w:val="18"/>
          <w:szCs w:val="18"/>
          <w:lang w:eastAsia="es-CO"/>
        </w:rPr>
      </w:pPr>
      <w:r w:rsidRPr="00D2718B">
        <w:rPr>
          <w:rFonts w:ascii="Segoe UI" w:eastAsia="Times New Roman" w:hAnsi="Segoe UI" w:cs="Segoe UI"/>
          <w:b/>
          <w:bCs/>
          <w:color w:val="0000FF"/>
          <w:sz w:val="28"/>
          <w:szCs w:val="28"/>
          <w:lang w:eastAsia="es-CO"/>
        </w:rPr>
        <w:t>SECCIÓN CUARTA</w:t>
      </w:r>
    </w:p>
    <w:p w:rsidR="00D2718B" w:rsidRPr="00D2718B" w:rsidRDefault="00D2718B" w:rsidP="00D2718B">
      <w:pPr>
        <w:spacing w:after="0" w:line="240" w:lineRule="auto"/>
        <w:jc w:val="center"/>
        <w:rPr>
          <w:rFonts w:ascii="Arial" w:eastAsia="Times New Roman" w:hAnsi="Arial" w:cs="Arial"/>
          <w:color w:val="000000"/>
          <w:sz w:val="18"/>
          <w:szCs w:val="18"/>
          <w:lang w:eastAsia="es-CO"/>
        </w:rPr>
      </w:pPr>
      <w:r w:rsidRPr="00D2718B">
        <w:rPr>
          <w:rFonts w:ascii="Segoe UI" w:eastAsia="Times New Roman" w:hAnsi="Segoe UI" w:cs="Segoe UI"/>
          <w:b/>
          <w:bCs/>
          <w:color w:val="0000FF"/>
          <w:sz w:val="28"/>
          <w:szCs w:val="28"/>
          <w:lang w:eastAsia="es-CO"/>
        </w:rPr>
        <w:t> </w:t>
      </w:r>
    </w:p>
    <w:p w:rsidR="00D2718B" w:rsidRPr="00D2718B" w:rsidRDefault="00D2718B" w:rsidP="00D2718B">
      <w:pPr>
        <w:spacing w:after="0" w:line="240" w:lineRule="auto"/>
        <w:jc w:val="center"/>
        <w:rPr>
          <w:rFonts w:ascii="Arial" w:eastAsia="Times New Roman" w:hAnsi="Arial" w:cs="Arial"/>
          <w:color w:val="000000"/>
          <w:sz w:val="18"/>
          <w:szCs w:val="18"/>
          <w:lang w:eastAsia="es-CO"/>
        </w:rPr>
      </w:pPr>
      <w:r w:rsidRPr="00D2718B">
        <w:rPr>
          <w:rFonts w:ascii="Segoe UI" w:eastAsia="Times New Roman" w:hAnsi="Segoe UI" w:cs="Segoe UI"/>
          <w:b/>
          <w:bCs/>
          <w:color w:val="0000FF"/>
          <w:sz w:val="28"/>
          <w:szCs w:val="28"/>
          <w:lang w:eastAsia="es-CO"/>
        </w:rPr>
        <w:t>Consejera Ponente: MARTHA TERESA BRICEÑO DE VALENCIA</w:t>
      </w:r>
    </w:p>
    <w:p w:rsidR="00D2718B" w:rsidRPr="00D2718B" w:rsidRDefault="00D2718B" w:rsidP="00D2718B">
      <w:pPr>
        <w:spacing w:after="0" w:line="240" w:lineRule="auto"/>
        <w:jc w:val="center"/>
        <w:rPr>
          <w:rFonts w:ascii="Arial" w:eastAsia="Times New Roman" w:hAnsi="Arial" w:cs="Arial"/>
          <w:color w:val="000000"/>
          <w:sz w:val="18"/>
          <w:szCs w:val="18"/>
          <w:lang w:eastAsia="es-CO"/>
        </w:rPr>
      </w:pPr>
      <w:r w:rsidRPr="00D2718B">
        <w:rPr>
          <w:rFonts w:ascii="Segoe UI" w:eastAsia="Times New Roman" w:hAnsi="Segoe UI" w:cs="Segoe UI"/>
          <w:b/>
          <w:bCs/>
          <w:color w:val="0000FF"/>
          <w:sz w:val="28"/>
          <w:szCs w:val="28"/>
          <w:lang w:eastAsia="es-CO"/>
        </w:rPr>
        <w:t>Bogotá D.C., veinticinco (25) de abril de dos mil dieciséis (2016)</w:t>
      </w:r>
    </w:p>
    <w:p w:rsidR="00D2718B" w:rsidRPr="00D2718B" w:rsidRDefault="00D2718B" w:rsidP="00D2718B">
      <w:pPr>
        <w:spacing w:after="0" w:line="240" w:lineRule="auto"/>
        <w:jc w:val="center"/>
        <w:rPr>
          <w:rFonts w:ascii="Arial" w:eastAsia="Times New Roman" w:hAnsi="Arial" w:cs="Arial"/>
          <w:color w:val="000000"/>
          <w:sz w:val="18"/>
          <w:szCs w:val="18"/>
          <w:lang w:eastAsia="es-CO"/>
        </w:rPr>
      </w:pPr>
      <w:r w:rsidRPr="00D2718B">
        <w:rPr>
          <w:rFonts w:ascii="Segoe UI" w:eastAsia="Times New Roman" w:hAnsi="Segoe UI" w:cs="Segoe UI"/>
          <w:b/>
          <w:bCs/>
          <w:color w:val="0000FF"/>
          <w:sz w:val="28"/>
          <w:szCs w:val="28"/>
          <w:lang w:eastAsia="es-CO"/>
        </w:rPr>
        <w:t>Radicación: 54001-23-33-000-2012-00177- 01 [20384]</w:t>
      </w:r>
    </w:p>
    <w:p w:rsidR="00D2718B" w:rsidRPr="00D2718B" w:rsidRDefault="00D2718B" w:rsidP="00D2718B">
      <w:pPr>
        <w:spacing w:after="0" w:line="240" w:lineRule="auto"/>
        <w:jc w:val="center"/>
        <w:rPr>
          <w:rFonts w:ascii="Arial" w:eastAsia="Times New Roman" w:hAnsi="Arial" w:cs="Arial"/>
          <w:color w:val="000000"/>
          <w:sz w:val="18"/>
          <w:szCs w:val="18"/>
          <w:lang w:eastAsia="es-CO"/>
        </w:rPr>
      </w:pPr>
      <w:r w:rsidRPr="00D2718B">
        <w:rPr>
          <w:rFonts w:ascii="Segoe UI" w:eastAsia="Times New Roman" w:hAnsi="Segoe UI" w:cs="Segoe UI"/>
          <w:b/>
          <w:bCs/>
          <w:color w:val="0000FF"/>
          <w:sz w:val="28"/>
          <w:szCs w:val="28"/>
          <w:lang w:eastAsia="es-CO"/>
        </w:rPr>
        <w:t>Actor: FERNANDO URIEL BAYONA CAMACHO</w:t>
      </w:r>
    </w:p>
    <w:p w:rsidR="00D2718B" w:rsidRPr="00D2718B" w:rsidRDefault="00D2718B" w:rsidP="00D2718B">
      <w:pPr>
        <w:spacing w:after="0" w:line="240" w:lineRule="auto"/>
        <w:jc w:val="center"/>
        <w:rPr>
          <w:rFonts w:ascii="Arial" w:eastAsia="Times New Roman" w:hAnsi="Arial" w:cs="Arial"/>
          <w:color w:val="000000"/>
          <w:sz w:val="18"/>
          <w:szCs w:val="18"/>
          <w:lang w:eastAsia="es-CO"/>
        </w:rPr>
      </w:pPr>
      <w:r w:rsidRPr="00D2718B">
        <w:rPr>
          <w:rFonts w:ascii="Segoe UI" w:eastAsia="Times New Roman" w:hAnsi="Segoe UI" w:cs="Segoe UI"/>
          <w:b/>
          <w:bCs/>
          <w:color w:val="0000FF"/>
          <w:sz w:val="28"/>
          <w:szCs w:val="28"/>
          <w:lang w:eastAsia="es-CO"/>
        </w:rPr>
        <w:t>Demandado: DIRECCIÓN DE IMPUESTOS Y ADUANAS NACIONALES – DIAN</w:t>
      </w:r>
    </w:p>
    <w:p w:rsidR="00D2718B" w:rsidRPr="00D2718B" w:rsidRDefault="00D2718B" w:rsidP="00D2718B">
      <w:pPr>
        <w:spacing w:after="0" w:line="240" w:lineRule="auto"/>
        <w:jc w:val="center"/>
        <w:rPr>
          <w:rFonts w:ascii="Arial" w:eastAsia="Times New Roman" w:hAnsi="Arial" w:cs="Arial"/>
          <w:color w:val="000000"/>
          <w:sz w:val="18"/>
          <w:szCs w:val="18"/>
          <w:lang w:eastAsia="es-CO"/>
        </w:rPr>
      </w:pPr>
      <w:r w:rsidRPr="00D2718B">
        <w:rPr>
          <w:rFonts w:ascii="Segoe UI" w:eastAsia="Times New Roman" w:hAnsi="Segoe UI" w:cs="Segoe UI"/>
          <w:b/>
          <w:bCs/>
          <w:color w:val="0000FF"/>
          <w:sz w:val="28"/>
          <w:szCs w:val="28"/>
          <w:lang w:eastAsia="es-CO"/>
        </w:rPr>
        <w:t>Impuesto sobre la renta – año gravable 2007</w:t>
      </w:r>
    </w:p>
    <w:p w:rsidR="00D2718B" w:rsidRPr="00D2718B" w:rsidRDefault="00D2718B" w:rsidP="00D2718B">
      <w:pPr>
        <w:spacing w:after="0" w:line="240" w:lineRule="auto"/>
        <w:jc w:val="center"/>
        <w:rPr>
          <w:rFonts w:ascii="Arial" w:eastAsia="Times New Roman" w:hAnsi="Arial" w:cs="Arial"/>
          <w:color w:val="000000"/>
          <w:sz w:val="18"/>
          <w:szCs w:val="18"/>
          <w:lang w:eastAsia="es-CO"/>
        </w:rPr>
      </w:pPr>
      <w:r w:rsidRPr="00D2718B">
        <w:rPr>
          <w:rFonts w:ascii="Segoe UI" w:eastAsia="Times New Roman" w:hAnsi="Segoe UI" w:cs="Segoe UI"/>
          <w:b/>
          <w:bCs/>
          <w:color w:val="0000FF"/>
          <w:sz w:val="28"/>
          <w:szCs w:val="28"/>
          <w:lang w:eastAsia="es-CO"/>
        </w:rPr>
        <w:t> </w:t>
      </w:r>
    </w:p>
    <w:p w:rsidR="00D2718B" w:rsidRPr="00D2718B" w:rsidRDefault="00D2718B" w:rsidP="00D2718B">
      <w:pPr>
        <w:spacing w:after="0" w:line="240" w:lineRule="auto"/>
        <w:jc w:val="center"/>
        <w:rPr>
          <w:rFonts w:ascii="Arial" w:eastAsia="Times New Roman" w:hAnsi="Arial" w:cs="Arial"/>
          <w:color w:val="000000"/>
          <w:sz w:val="18"/>
          <w:szCs w:val="18"/>
          <w:lang w:eastAsia="es-CO"/>
        </w:rPr>
      </w:pPr>
      <w:r w:rsidRPr="00D2718B">
        <w:rPr>
          <w:rFonts w:ascii="Segoe UI" w:eastAsia="Times New Roman" w:hAnsi="Segoe UI" w:cs="Segoe UI"/>
          <w:b/>
          <w:bCs/>
          <w:color w:val="0000FF"/>
          <w:sz w:val="28"/>
          <w:szCs w:val="28"/>
          <w:lang w:eastAsia="es-CO"/>
        </w:rPr>
        <w:t>FALLO</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b/>
          <w:bCs/>
          <w:color w:val="0000FF"/>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b/>
          <w:bCs/>
          <w:color w:val="0000FF"/>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La Sala decide el recurso de apelación interpuesto por el demandante contra la sentencia de 26 de junio de 2013, proferida por el Tribunal Administrativo de Norte de Santander, que negó las pretensiones de la demanda y condenó en costas al actor.</w:t>
      </w:r>
    </w:p>
    <w:p w:rsidR="00D2718B" w:rsidRPr="00D2718B" w:rsidRDefault="00D2718B" w:rsidP="00D2718B">
      <w:pPr>
        <w:spacing w:after="0" w:line="240" w:lineRule="auto"/>
        <w:jc w:val="center"/>
        <w:rPr>
          <w:rFonts w:ascii="Arial" w:eastAsia="Times New Roman" w:hAnsi="Arial" w:cs="Arial"/>
          <w:color w:val="000000"/>
          <w:sz w:val="18"/>
          <w:szCs w:val="18"/>
          <w:lang w:eastAsia="es-CO"/>
        </w:rPr>
      </w:pPr>
      <w:r w:rsidRPr="00D2718B">
        <w:rPr>
          <w:rFonts w:ascii="Segoe UI" w:eastAsia="Times New Roman" w:hAnsi="Segoe UI" w:cs="Segoe UI"/>
          <w:b/>
          <w:bCs/>
          <w:color w:val="000000"/>
          <w:sz w:val="18"/>
          <w:szCs w:val="18"/>
          <w:lang w:eastAsia="es-CO"/>
        </w:rPr>
        <w:t> </w:t>
      </w:r>
    </w:p>
    <w:p w:rsidR="00D2718B" w:rsidRPr="00D2718B" w:rsidRDefault="00D2718B" w:rsidP="00D2718B">
      <w:pPr>
        <w:spacing w:after="0" w:line="240" w:lineRule="auto"/>
        <w:jc w:val="center"/>
        <w:rPr>
          <w:rFonts w:ascii="Arial" w:eastAsia="Times New Roman" w:hAnsi="Arial" w:cs="Arial"/>
          <w:color w:val="000000"/>
          <w:sz w:val="18"/>
          <w:szCs w:val="18"/>
          <w:lang w:eastAsia="es-CO"/>
        </w:rPr>
      </w:pPr>
      <w:r w:rsidRPr="00D2718B">
        <w:rPr>
          <w:rFonts w:ascii="Segoe UI" w:eastAsia="Times New Roman" w:hAnsi="Segoe UI" w:cs="Segoe UI"/>
          <w:b/>
          <w:bCs/>
          <w:color w:val="000000"/>
          <w:sz w:val="18"/>
          <w:szCs w:val="18"/>
          <w:lang w:eastAsia="es-CO"/>
        </w:rPr>
        <w:t>ANTECEDENTES</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El 1º de julio de 2008, Fernando Uriel Bayona Camacho presentó la declaración del impuesto sobre la renta del año gravable 2007 y registró ingresos por $593.758.000, costos y deducciones por $519.382.000, retenciones en la fuente por $5.938.000, un impuesto a cargo de $13.275.000 y un total a pagar de $7.337.000</w:t>
      </w:r>
      <w:bookmarkStart w:id="0" w:name="_ftnref1"/>
      <w:r w:rsidRPr="00D2718B">
        <w:rPr>
          <w:rFonts w:ascii="Segoe UI" w:eastAsia="Times New Roman" w:hAnsi="Segoe UI" w:cs="Segoe UI"/>
          <w:color w:val="000000"/>
          <w:sz w:val="18"/>
          <w:szCs w:val="18"/>
          <w:lang w:eastAsia="es-CO"/>
        </w:rPr>
        <w:fldChar w:fldCharType="begin"/>
      </w:r>
      <w:r w:rsidRPr="00D2718B">
        <w:rPr>
          <w:rFonts w:ascii="Segoe UI" w:eastAsia="Times New Roman" w:hAnsi="Segoe UI" w:cs="Segoe UI"/>
          <w:color w:val="000000"/>
          <w:sz w:val="18"/>
          <w:szCs w:val="18"/>
          <w:lang w:eastAsia="es-CO"/>
        </w:rPr>
        <w:instrText xml:space="preserve"> HYPERLINK "http://www.ceta.org.co/html/vista_de_un_documento.asp?DocumentoID=28851" \l "_ftn1" \o "" </w:instrText>
      </w:r>
      <w:r w:rsidRPr="00D2718B">
        <w:rPr>
          <w:rFonts w:ascii="Segoe UI" w:eastAsia="Times New Roman" w:hAnsi="Segoe UI" w:cs="Segoe UI"/>
          <w:color w:val="000000"/>
          <w:sz w:val="18"/>
          <w:szCs w:val="18"/>
          <w:lang w:eastAsia="es-CO"/>
        </w:rPr>
        <w:fldChar w:fldCharType="separate"/>
      </w:r>
      <w:r w:rsidRPr="00D2718B">
        <w:rPr>
          <w:rFonts w:ascii="Segoe UI" w:eastAsia="Times New Roman" w:hAnsi="Segoe UI" w:cs="Segoe UI"/>
          <w:color w:val="0089E1"/>
          <w:sz w:val="22"/>
          <w:lang w:eastAsia="es-CO"/>
        </w:rPr>
        <w:t>[1]</w:t>
      </w:r>
      <w:r w:rsidRPr="00D2718B">
        <w:rPr>
          <w:rFonts w:ascii="Segoe UI" w:eastAsia="Times New Roman" w:hAnsi="Segoe UI" w:cs="Segoe UI"/>
          <w:color w:val="000000"/>
          <w:sz w:val="18"/>
          <w:szCs w:val="18"/>
          <w:lang w:eastAsia="es-CO"/>
        </w:rPr>
        <w:fldChar w:fldCharType="end"/>
      </w:r>
      <w:bookmarkEnd w:id="0"/>
      <w:r w:rsidRPr="00D2718B">
        <w:rPr>
          <w:rFonts w:ascii="Segoe UI" w:eastAsia="Times New Roman" w:hAnsi="Segoe UI" w:cs="Segoe UI"/>
          <w:color w:val="000000"/>
          <w:sz w:val="18"/>
          <w:szCs w:val="18"/>
          <w:lang w:eastAsia="es-CO"/>
        </w:rPr>
        <w:t>.</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En respuesta a la invitación a corregir realizada por la DIAN, el 26 de enero de 2010 el contribuyente corrigió la declaración. Aumentó los ingresos a $602.992.000, determinó un impuesto a pagar de $15.860.000, unas retenciones de $6.466.000, una sanción por corrección de $205.000, unos intereses de mora de $1.032.002 y un total a pagar de $9.599.000</w:t>
      </w:r>
      <w:bookmarkStart w:id="1" w:name="_ftnref2"/>
      <w:r w:rsidRPr="00D2718B">
        <w:rPr>
          <w:rFonts w:ascii="Segoe UI" w:eastAsia="Times New Roman" w:hAnsi="Segoe UI" w:cs="Segoe UI"/>
          <w:color w:val="000000"/>
          <w:sz w:val="18"/>
          <w:szCs w:val="18"/>
          <w:lang w:eastAsia="es-CO"/>
        </w:rPr>
        <w:fldChar w:fldCharType="begin"/>
      </w:r>
      <w:r w:rsidRPr="00D2718B">
        <w:rPr>
          <w:rFonts w:ascii="Segoe UI" w:eastAsia="Times New Roman" w:hAnsi="Segoe UI" w:cs="Segoe UI"/>
          <w:color w:val="000000"/>
          <w:sz w:val="18"/>
          <w:szCs w:val="18"/>
          <w:lang w:eastAsia="es-CO"/>
        </w:rPr>
        <w:instrText xml:space="preserve"> HYPERLINK "http://www.ceta.org.co/html/vista_de_un_documento.asp?DocumentoID=28851" \l "_ftn2" \o "" </w:instrText>
      </w:r>
      <w:r w:rsidRPr="00D2718B">
        <w:rPr>
          <w:rFonts w:ascii="Segoe UI" w:eastAsia="Times New Roman" w:hAnsi="Segoe UI" w:cs="Segoe UI"/>
          <w:color w:val="000000"/>
          <w:sz w:val="18"/>
          <w:szCs w:val="18"/>
          <w:lang w:eastAsia="es-CO"/>
        </w:rPr>
        <w:fldChar w:fldCharType="separate"/>
      </w:r>
      <w:r w:rsidRPr="00D2718B">
        <w:rPr>
          <w:rFonts w:ascii="Segoe UI" w:eastAsia="Times New Roman" w:hAnsi="Segoe UI" w:cs="Segoe UI"/>
          <w:color w:val="0089E1"/>
          <w:sz w:val="22"/>
          <w:lang w:eastAsia="es-CO"/>
        </w:rPr>
        <w:t>[2]</w:t>
      </w:r>
      <w:r w:rsidRPr="00D2718B">
        <w:rPr>
          <w:rFonts w:ascii="Segoe UI" w:eastAsia="Times New Roman" w:hAnsi="Segoe UI" w:cs="Segoe UI"/>
          <w:color w:val="000000"/>
          <w:sz w:val="18"/>
          <w:szCs w:val="18"/>
          <w:lang w:eastAsia="es-CO"/>
        </w:rPr>
        <w:fldChar w:fldCharType="end"/>
      </w:r>
      <w:bookmarkEnd w:id="1"/>
      <w:r w:rsidRPr="00D2718B">
        <w:rPr>
          <w:rFonts w:ascii="Segoe UI" w:eastAsia="Times New Roman" w:hAnsi="Segoe UI" w:cs="Segoe UI"/>
          <w:color w:val="000000"/>
          <w:sz w:val="18"/>
          <w:szCs w:val="18"/>
          <w:lang w:eastAsia="es-CO"/>
        </w:rPr>
        <w:t>.</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xml:space="preserve">Mediante requerimiento especial No. 072382010000118, notificado el 24 de septiembre de 2010, la DIAN propuso modificar la declaración del impuesto sobre la renta del año 2007 para, (i) aumentar los ingresos en $19.825.000, (ii) desconocer costos y gastos de $519.382.000, (iii) reconocer $6.562.000 por retenciones practicadas, (iv) </w:t>
      </w:r>
      <w:proofErr w:type="spellStart"/>
      <w:r w:rsidRPr="00D2718B">
        <w:rPr>
          <w:rFonts w:ascii="Segoe UI" w:eastAsia="Times New Roman" w:hAnsi="Segoe UI" w:cs="Segoe UI"/>
          <w:color w:val="000000"/>
          <w:sz w:val="18"/>
          <w:szCs w:val="18"/>
          <w:lang w:eastAsia="es-CO"/>
        </w:rPr>
        <w:t>reliquidar</w:t>
      </w:r>
      <w:proofErr w:type="spellEnd"/>
      <w:r w:rsidRPr="00D2718B">
        <w:rPr>
          <w:rFonts w:ascii="Segoe UI" w:eastAsia="Times New Roman" w:hAnsi="Segoe UI" w:cs="Segoe UI"/>
          <w:color w:val="000000"/>
          <w:sz w:val="18"/>
          <w:szCs w:val="18"/>
          <w:lang w:eastAsia="es-CO"/>
        </w:rPr>
        <w:t xml:space="preserve"> la sanción por corrección e (v) imponer sanción por inexactitud</w:t>
      </w:r>
      <w:bookmarkStart w:id="2" w:name="_ftnref3"/>
      <w:r w:rsidRPr="00D2718B">
        <w:rPr>
          <w:rFonts w:ascii="Segoe UI" w:eastAsia="Times New Roman" w:hAnsi="Segoe UI" w:cs="Segoe UI"/>
          <w:color w:val="000000"/>
          <w:sz w:val="18"/>
          <w:szCs w:val="18"/>
          <w:lang w:eastAsia="es-CO"/>
        </w:rPr>
        <w:fldChar w:fldCharType="begin"/>
      </w:r>
      <w:r w:rsidRPr="00D2718B">
        <w:rPr>
          <w:rFonts w:ascii="Segoe UI" w:eastAsia="Times New Roman" w:hAnsi="Segoe UI" w:cs="Segoe UI"/>
          <w:color w:val="000000"/>
          <w:sz w:val="18"/>
          <w:szCs w:val="18"/>
          <w:lang w:eastAsia="es-CO"/>
        </w:rPr>
        <w:instrText xml:space="preserve"> HYPERLINK "http://www.ceta.org.co/html/vista_de_un_documento.asp?DocumentoID=28851" \l "_ftn3" \o "" </w:instrText>
      </w:r>
      <w:r w:rsidRPr="00D2718B">
        <w:rPr>
          <w:rFonts w:ascii="Segoe UI" w:eastAsia="Times New Roman" w:hAnsi="Segoe UI" w:cs="Segoe UI"/>
          <w:color w:val="000000"/>
          <w:sz w:val="18"/>
          <w:szCs w:val="18"/>
          <w:lang w:eastAsia="es-CO"/>
        </w:rPr>
        <w:fldChar w:fldCharType="separate"/>
      </w:r>
      <w:r w:rsidRPr="00D2718B">
        <w:rPr>
          <w:rFonts w:ascii="Segoe UI" w:eastAsia="Times New Roman" w:hAnsi="Segoe UI" w:cs="Segoe UI"/>
          <w:color w:val="0089E1"/>
          <w:sz w:val="22"/>
          <w:lang w:eastAsia="es-CO"/>
        </w:rPr>
        <w:t>[3]</w:t>
      </w:r>
      <w:r w:rsidRPr="00D2718B">
        <w:rPr>
          <w:rFonts w:ascii="Segoe UI" w:eastAsia="Times New Roman" w:hAnsi="Segoe UI" w:cs="Segoe UI"/>
          <w:color w:val="000000"/>
          <w:sz w:val="18"/>
          <w:szCs w:val="18"/>
          <w:lang w:eastAsia="es-CO"/>
        </w:rPr>
        <w:fldChar w:fldCharType="end"/>
      </w:r>
      <w:bookmarkEnd w:id="2"/>
      <w:r w:rsidRPr="00D2718B">
        <w:rPr>
          <w:rFonts w:ascii="Segoe UI" w:eastAsia="Times New Roman" w:hAnsi="Segoe UI" w:cs="Segoe UI"/>
          <w:color w:val="000000"/>
          <w:sz w:val="18"/>
          <w:szCs w:val="18"/>
          <w:lang w:eastAsia="es-CO"/>
        </w:rPr>
        <w:t>.</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xml:space="preserve">Previa respuesta al requerimiento especial, el 9 de junio de 2011, la DIAN profirió la Liquidación Oficial de Revisión No. 072412011000055 en la que mantuvo las glosas del requerimiento especial, salvo la sanción por inexactitud que </w:t>
      </w:r>
      <w:proofErr w:type="spellStart"/>
      <w:r w:rsidRPr="00D2718B">
        <w:rPr>
          <w:rFonts w:ascii="Segoe UI" w:eastAsia="Times New Roman" w:hAnsi="Segoe UI" w:cs="Segoe UI"/>
          <w:color w:val="000000"/>
          <w:sz w:val="18"/>
          <w:szCs w:val="18"/>
          <w:lang w:eastAsia="es-CO"/>
        </w:rPr>
        <w:t>reliquidó</w:t>
      </w:r>
      <w:proofErr w:type="spellEnd"/>
      <w:r w:rsidRPr="00D2718B">
        <w:rPr>
          <w:rFonts w:ascii="Segoe UI" w:eastAsia="Times New Roman" w:hAnsi="Segoe UI" w:cs="Segoe UI"/>
          <w:color w:val="000000"/>
          <w:sz w:val="18"/>
          <w:szCs w:val="18"/>
          <w:lang w:eastAsia="es-CO"/>
        </w:rPr>
        <w:t xml:space="preserve"> para calcularla solamente sobre la omisión de ingresos, porque el rechazo de costos y deducciones por falta de requisitos formales y de soportes no encuadra en las causales de inexactitud</w:t>
      </w:r>
      <w:bookmarkStart w:id="3" w:name="_ftnref4"/>
      <w:r w:rsidRPr="00D2718B">
        <w:rPr>
          <w:rFonts w:ascii="Segoe UI" w:eastAsia="Times New Roman" w:hAnsi="Segoe UI" w:cs="Segoe UI"/>
          <w:color w:val="000000"/>
          <w:sz w:val="18"/>
          <w:szCs w:val="18"/>
          <w:lang w:eastAsia="es-CO"/>
        </w:rPr>
        <w:fldChar w:fldCharType="begin"/>
      </w:r>
      <w:r w:rsidRPr="00D2718B">
        <w:rPr>
          <w:rFonts w:ascii="Segoe UI" w:eastAsia="Times New Roman" w:hAnsi="Segoe UI" w:cs="Segoe UI"/>
          <w:color w:val="000000"/>
          <w:sz w:val="18"/>
          <w:szCs w:val="18"/>
          <w:lang w:eastAsia="es-CO"/>
        </w:rPr>
        <w:instrText xml:space="preserve"> HYPERLINK "http://www.ceta.org.co/html/vista_de_un_documento.asp?DocumentoID=28851" \l "_ftn4" \o "" </w:instrText>
      </w:r>
      <w:r w:rsidRPr="00D2718B">
        <w:rPr>
          <w:rFonts w:ascii="Segoe UI" w:eastAsia="Times New Roman" w:hAnsi="Segoe UI" w:cs="Segoe UI"/>
          <w:color w:val="000000"/>
          <w:sz w:val="18"/>
          <w:szCs w:val="18"/>
          <w:lang w:eastAsia="es-CO"/>
        </w:rPr>
        <w:fldChar w:fldCharType="separate"/>
      </w:r>
      <w:r w:rsidRPr="00D2718B">
        <w:rPr>
          <w:rFonts w:ascii="Segoe UI" w:eastAsia="Times New Roman" w:hAnsi="Segoe UI" w:cs="Segoe UI"/>
          <w:color w:val="0089E1"/>
          <w:sz w:val="22"/>
          <w:lang w:eastAsia="es-CO"/>
        </w:rPr>
        <w:t>[4]</w:t>
      </w:r>
      <w:r w:rsidRPr="00D2718B">
        <w:rPr>
          <w:rFonts w:ascii="Segoe UI" w:eastAsia="Times New Roman" w:hAnsi="Segoe UI" w:cs="Segoe UI"/>
          <w:color w:val="000000"/>
          <w:sz w:val="18"/>
          <w:szCs w:val="18"/>
          <w:lang w:eastAsia="es-CO"/>
        </w:rPr>
        <w:fldChar w:fldCharType="end"/>
      </w:r>
      <w:bookmarkEnd w:id="3"/>
      <w:r w:rsidRPr="00D2718B">
        <w:rPr>
          <w:rFonts w:ascii="Segoe UI" w:eastAsia="Times New Roman" w:hAnsi="Segoe UI" w:cs="Segoe UI"/>
          <w:color w:val="000000"/>
          <w:sz w:val="18"/>
          <w:szCs w:val="18"/>
          <w:lang w:eastAsia="es-CO"/>
        </w:rPr>
        <w:t>.</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Previa interposición del recurso de reconsideración</w:t>
      </w:r>
      <w:bookmarkStart w:id="4" w:name="_ftnref5"/>
      <w:r w:rsidRPr="00D2718B">
        <w:rPr>
          <w:rFonts w:ascii="Segoe UI" w:eastAsia="Times New Roman" w:hAnsi="Segoe UI" w:cs="Segoe UI"/>
          <w:color w:val="000000"/>
          <w:sz w:val="18"/>
          <w:szCs w:val="18"/>
          <w:lang w:eastAsia="es-CO"/>
        </w:rPr>
        <w:fldChar w:fldCharType="begin"/>
      </w:r>
      <w:r w:rsidRPr="00D2718B">
        <w:rPr>
          <w:rFonts w:ascii="Segoe UI" w:eastAsia="Times New Roman" w:hAnsi="Segoe UI" w:cs="Segoe UI"/>
          <w:color w:val="000000"/>
          <w:sz w:val="18"/>
          <w:szCs w:val="18"/>
          <w:lang w:eastAsia="es-CO"/>
        </w:rPr>
        <w:instrText xml:space="preserve"> HYPERLINK "http://www.ceta.org.co/html/vista_de_un_documento.asp?DocumentoID=28851" \l "_ftn5" \o "" </w:instrText>
      </w:r>
      <w:r w:rsidRPr="00D2718B">
        <w:rPr>
          <w:rFonts w:ascii="Segoe UI" w:eastAsia="Times New Roman" w:hAnsi="Segoe UI" w:cs="Segoe UI"/>
          <w:color w:val="000000"/>
          <w:sz w:val="18"/>
          <w:szCs w:val="18"/>
          <w:lang w:eastAsia="es-CO"/>
        </w:rPr>
        <w:fldChar w:fldCharType="separate"/>
      </w:r>
      <w:r w:rsidRPr="00D2718B">
        <w:rPr>
          <w:rFonts w:ascii="Segoe UI" w:eastAsia="Times New Roman" w:hAnsi="Segoe UI" w:cs="Segoe UI"/>
          <w:color w:val="0089E1"/>
          <w:sz w:val="22"/>
          <w:lang w:eastAsia="es-CO"/>
        </w:rPr>
        <w:t>[5]</w:t>
      </w:r>
      <w:r w:rsidRPr="00D2718B">
        <w:rPr>
          <w:rFonts w:ascii="Segoe UI" w:eastAsia="Times New Roman" w:hAnsi="Segoe UI" w:cs="Segoe UI"/>
          <w:color w:val="000000"/>
          <w:sz w:val="18"/>
          <w:szCs w:val="18"/>
          <w:lang w:eastAsia="es-CO"/>
        </w:rPr>
        <w:fldChar w:fldCharType="end"/>
      </w:r>
      <w:bookmarkEnd w:id="4"/>
      <w:r w:rsidRPr="00D2718B">
        <w:rPr>
          <w:rFonts w:ascii="Segoe UI" w:eastAsia="Times New Roman" w:hAnsi="Segoe UI" w:cs="Segoe UI"/>
          <w:color w:val="000000"/>
          <w:sz w:val="18"/>
          <w:szCs w:val="18"/>
          <w:lang w:eastAsia="es-CO"/>
        </w:rPr>
        <w:t>, el 16 de julio de 2012, la DIAN notificó la Resolución No. 900.120 de 6 de julio de 2012, que confirmó la liquidación oficial de revisión</w:t>
      </w:r>
      <w:bookmarkStart w:id="5" w:name="_ftnref6"/>
      <w:r w:rsidRPr="00D2718B">
        <w:rPr>
          <w:rFonts w:ascii="Segoe UI" w:eastAsia="Times New Roman" w:hAnsi="Segoe UI" w:cs="Segoe UI"/>
          <w:color w:val="000000"/>
          <w:sz w:val="18"/>
          <w:szCs w:val="18"/>
          <w:lang w:eastAsia="es-CO"/>
        </w:rPr>
        <w:fldChar w:fldCharType="begin"/>
      </w:r>
      <w:r w:rsidRPr="00D2718B">
        <w:rPr>
          <w:rFonts w:ascii="Segoe UI" w:eastAsia="Times New Roman" w:hAnsi="Segoe UI" w:cs="Segoe UI"/>
          <w:color w:val="000000"/>
          <w:sz w:val="18"/>
          <w:szCs w:val="18"/>
          <w:lang w:eastAsia="es-CO"/>
        </w:rPr>
        <w:instrText xml:space="preserve"> HYPERLINK "http://www.ceta.org.co/html/vista_de_un_documento.asp?DocumentoID=28851" \l "_ftn6" \o "" </w:instrText>
      </w:r>
      <w:r w:rsidRPr="00D2718B">
        <w:rPr>
          <w:rFonts w:ascii="Segoe UI" w:eastAsia="Times New Roman" w:hAnsi="Segoe UI" w:cs="Segoe UI"/>
          <w:color w:val="000000"/>
          <w:sz w:val="18"/>
          <w:szCs w:val="18"/>
          <w:lang w:eastAsia="es-CO"/>
        </w:rPr>
        <w:fldChar w:fldCharType="separate"/>
      </w:r>
      <w:r w:rsidRPr="00D2718B">
        <w:rPr>
          <w:rFonts w:ascii="Segoe UI" w:eastAsia="Times New Roman" w:hAnsi="Segoe UI" w:cs="Segoe UI"/>
          <w:color w:val="0089E1"/>
          <w:sz w:val="22"/>
          <w:lang w:eastAsia="es-CO"/>
        </w:rPr>
        <w:t>[6]</w:t>
      </w:r>
      <w:r w:rsidRPr="00D2718B">
        <w:rPr>
          <w:rFonts w:ascii="Segoe UI" w:eastAsia="Times New Roman" w:hAnsi="Segoe UI" w:cs="Segoe UI"/>
          <w:color w:val="000000"/>
          <w:sz w:val="18"/>
          <w:szCs w:val="18"/>
          <w:lang w:eastAsia="es-CO"/>
        </w:rPr>
        <w:fldChar w:fldCharType="end"/>
      </w:r>
      <w:bookmarkEnd w:id="5"/>
      <w:r w:rsidRPr="00D2718B">
        <w:rPr>
          <w:rFonts w:ascii="Segoe UI" w:eastAsia="Times New Roman" w:hAnsi="Segoe UI" w:cs="Segoe UI"/>
          <w:color w:val="000000"/>
          <w:sz w:val="18"/>
          <w:szCs w:val="18"/>
          <w:lang w:eastAsia="es-CO"/>
        </w:rPr>
        <w:t>.</w:t>
      </w:r>
    </w:p>
    <w:p w:rsidR="00D2718B" w:rsidRPr="00D2718B" w:rsidRDefault="00D2718B" w:rsidP="00D2718B">
      <w:pPr>
        <w:spacing w:after="0" w:line="240" w:lineRule="auto"/>
        <w:jc w:val="center"/>
        <w:rPr>
          <w:rFonts w:ascii="Arial" w:eastAsia="Times New Roman" w:hAnsi="Arial" w:cs="Arial"/>
          <w:color w:val="000000"/>
          <w:sz w:val="18"/>
          <w:szCs w:val="18"/>
          <w:lang w:eastAsia="es-CO"/>
        </w:rPr>
      </w:pPr>
      <w:r w:rsidRPr="00D2718B">
        <w:rPr>
          <w:rFonts w:ascii="Segoe UI" w:eastAsia="Times New Roman" w:hAnsi="Segoe UI" w:cs="Segoe UI"/>
          <w:b/>
          <w:bCs/>
          <w:color w:val="000000"/>
          <w:sz w:val="18"/>
          <w:szCs w:val="18"/>
          <w:lang w:eastAsia="es-CO"/>
        </w:rPr>
        <w:t> </w:t>
      </w:r>
    </w:p>
    <w:p w:rsidR="00D2718B" w:rsidRPr="00D2718B" w:rsidRDefault="00D2718B" w:rsidP="00D2718B">
      <w:pPr>
        <w:spacing w:after="0" w:line="240" w:lineRule="auto"/>
        <w:jc w:val="center"/>
        <w:rPr>
          <w:rFonts w:ascii="Arial" w:eastAsia="Times New Roman" w:hAnsi="Arial" w:cs="Arial"/>
          <w:color w:val="000000"/>
          <w:sz w:val="18"/>
          <w:szCs w:val="18"/>
          <w:lang w:eastAsia="es-CO"/>
        </w:rPr>
      </w:pPr>
      <w:r w:rsidRPr="00D2718B">
        <w:rPr>
          <w:rFonts w:ascii="Segoe UI" w:eastAsia="Times New Roman" w:hAnsi="Segoe UI" w:cs="Segoe UI"/>
          <w:b/>
          <w:bCs/>
          <w:color w:val="000000"/>
          <w:sz w:val="18"/>
          <w:szCs w:val="18"/>
          <w:lang w:eastAsia="es-CO"/>
        </w:rPr>
        <w:t>DEMANDA</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Fernando Uriel Bayona Camacho, en ejercicio del medio de control previsto en el artículo 138 del Código de Procedimiento Administrativo y de lo Contencioso Administrativo (CPACA), formuló las siguientes pretensiones:</w:t>
      </w:r>
    </w:p>
    <w:p w:rsidR="00D2718B" w:rsidRPr="00D2718B" w:rsidRDefault="00D2718B" w:rsidP="00D2718B">
      <w:pPr>
        <w:spacing w:after="0" w:line="240" w:lineRule="auto"/>
        <w:ind w:left="284"/>
        <w:jc w:val="both"/>
        <w:rPr>
          <w:rFonts w:ascii="Arial" w:eastAsia="Times New Roman" w:hAnsi="Arial" w:cs="Arial"/>
          <w:color w:val="000000"/>
          <w:sz w:val="18"/>
          <w:szCs w:val="18"/>
          <w:lang w:eastAsia="es-CO"/>
        </w:rPr>
      </w:pPr>
      <w:r w:rsidRPr="00D2718B">
        <w:rPr>
          <w:rFonts w:ascii="Segoe UI" w:eastAsia="Times New Roman" w:hAnsi="Segoe UI" w:cs="Segoe UI"/>
          <w:b/>
          <w:bCs/>
          <w:i/>
          <w:iCs/>
          <w:color w:val="000000"/>
          <w:sz w:val="18"/>
          <w:szCs w:val="18"/>
          <w:lang w:eastAsia="es-CO"/>
        </w:rPr>
        <w:t> </w:t>
      </w:r>
    </w:p>
    <w:p w:rsidR="00D2718B" w:rsidRPr="00D2718B" w:rsidRDefault="00D2718B" w:rsidP="00D2718B">
      <w:pPr>
        <w:spacing w:after="0" w:line="240" w:lineRule="auto"/>
        <w:ind w:left="284"/>
        <w:jc w:val="both"/>
        <w:rPr>
          <w:rFonts w:ascii="Arial" w:eastAsia="Times New Roman" w:hAnsi="Arial" w:cs="Arial"/>
          <w:color w:val="000000"/>
          <w:sz w:val="18"/>
          <w:szCs w:val="18"/>
          <w:lang w:eastAsia="es-CO"/>
        </w:rPr>
      </w:pPr>
      <w:r w:rsidRPr="00D2718B">
        <w:rPr>
          <w:rFonts w:ascii="Segoe UI" w:eastAsia="Times New Roman" w:hAnsi="Segoe UI" w:cs="Segoe UI"/>
          <w:b/>
          <w:bCs/>
          <w:i/>
          <w:iCs/>
          <w:color w:val="000000"/>
          <w:sz w:val="18"/>
          <w:szCs w:val="18"/>
          <w:lang w:eastAsia="es-CO"/>
        </w:rPr>
        <w:t>“PRIMERA: </w:t>
      </w:r>
      <w:r w:rsidRPr="00D2718B">
        <w:rPr>
          <w:rFonts w:ascii="Segoe UI" w:eastAsia="Times New Roman" w:hAnsi="Segoe UI" w:cs="Segoe UI"/>
          <w:i/>
          <w:iCs/>
          <w:color w:val="000000"/>
          <w:sz w:val="18"/>
          <w:szCs w:val="18"/>
          <w:lang w:eastAsia="es-CO"/>
        </w:rPr>
        <w:t>Que se declare la nulidad de la Resolución No. 900.120 del 06 de julio de 2012, por la cual se Resuelve el Recurso de Reconsideración, expedida por la Subdirección de Gestión de Recursos Jurídicos.</w:t>
      </w:r>
    </w:p>
    <w:p w:rsidR="00D2718B" w:rsidRPr="00D2718B" w:rsidRDefault="00D2718B" w:rsidP="00D2718B">
      <w:pPr>
        <w:spacing w:after="0" w:line="240" w:lineRule="auto"/>
        <w:ind w:left="284"/>
        <w:jc w:val="both"/>
        <w:rPr>
          <w:rFonts w:ascii="Arial" w:eastAsia="Times New Roman" w:hAnsi="Arial" w:cs="Arial"/>
          <w:color w:val="000000"/>
          <w:sz w:val="18"/>
          <w:szCs w:val="18"/>
          <w:lang w:eastAsia="es-CO"/>
        </w:rPr>
      </w:pPr>
      <w:r w:rsidRPr="00D2718B">
        <w:rPr>
          <w:rFonts w:ascii="Segoe UI" w:eastAsia="Times New Roman" w:hAnsi="Segoe UI" w:cs="Segoe UI"/>
          <w:b/>
          <w:bCs/>
          <w:i/>
          <w:iCs/>
          <w:color w:val="000000"/>
          <w:sz w:val="18"/>
          <w:szCs w:val="18"/>
          <w:lang w:eastAsia="es-CO"/>
        </w:rPr>
        <w:t> </w:t>
      </w:r>
    </w:p>
    <w:p w:rsidR="00D2718B" w:rsidRPr="00D2718B" w:rsidRDefault="00D2718B" w:rsidP="00D2718B">
      <w:pPr>
        <w:spacing w:after="0" w:line="240" w:lineRule="auto"/>
        <w:ind w:left="284"/>
        <w:jc w:val="both"/>
        <w:rPr>
          <w:rFonts w:ascii="Arial" w:eastAsia="Times New Roman" w:hAnsi="Arial" w:cs="Arial"/>
          <w:color w:val="000000"/>
          <w:sz w:val="18"/>
          <w:szCs w:val="18"/>
          <w:lang w:eastAsia="es-CO"/>
        </w:rPr>
      </w:pPr>
      <w:r w:rsidRPr="00D2718B">
        <w:rPr>
          <w:rFonts w:ascii="Segoe UI" w:eastAsia="Times New Roman" w:hAnsi="Segoe UI" w:cs="Segoe UI"/>
          <w:b/>
          <w:bCs/>
          <w:i/>
          <w:iCs/>
          <w:color w:val="000000"/>
          <w:sz w:val="18"/>
          <w:szCs w:val="18"/>
          <w:lang w:eastAsia="es-CO"/>
        </w:rPr>
        <w:t>SEGUNDA: </w:t>
      </w:r>
      <w:r w:rsidRPr="00D2718B">
        <w:rPr>
          <w:rFonts w:ascii="Segoe UI" w:eastAsia="Times New Roman" w:hAnsi="Segoe UI" w:cs="Segoe UI"/>
          <w:i/>
          <w:iCs/>
          <w:color w:val="000000"/>
          <w:sz w:val="18"/>
          <w:szCs w:val="18"/>
          <w:lang w:eastAsia="es-CO"/>
        </w:rPr>
        <w:t>Que se declare la nulidad parcial de la LIQUIDACIÓN OFICIAL RENTA NATURALES – Revisión No. 072412011000055 del 8 de junio de 2011 expedida por la Dirección Seccional de Impuestos y Aduanas Nacionales de Cúcuta, respeto del cual no reconoce los costos presuntos del señor Fernando Bayona correspondiente al renglón 43 COSTOS Y DEDUCCIONES, en virtud del </w:t>
      </w:r>
      <w:hyperlink r:id="rId4" w:tooltip="Estatuto Tributario CETA" w:history="1">
        <w:r w:rsidRPr="00D2718B">
          <w:rPr>
            <w:rFonts w:ascii="Segoe UI" w:eastAsia="Times New Roman" w:hAnsi="Segoe UI" w:cs="Segoe UI"/>
            <w:i/>
            <w:iCs/>
            <w:color w:val="0089E1"/>
            <w:sz w:val="18"/>
            <w:szCs w:val="18"/>
            <w:lang w:eastAsia="es-CO"/>
          </w:rPr>
          <w:t>artículo 82</w:t>
        </w:r>
      </w:hyperlink>
      <w:r w:rsidRPr="00D2718B">
        <w:rPr>
          <w:rFonts w:ascii="Segoe UI" w:eastAsia="Times New Roman" w:hAnsi="Segoe UI" w:cs="Segoe UI"/>
          <w:i/>
          <w:iCs/>
          <w:color w:val="000000"/>
          <w:sz w:val="18"/>
          <w:szCs w:val="18"/>
          <w:lang w:eastAsia="es-CO"/>
        </w:rPr>
        <w:t> del E.T.</w:t>
      </w:r>
    </w:p>
    <w:p w:rsidR="00D2718B" w:rsidRPr="00D2718B" w:rsidRDefault="00D2718B" w:rsidP="00D2718B">
      <w:pPr>
        <w:spacing w:after="0" w:line="240" w:lineRule="auto"/>
        <w:ind w:left="284"/>
        <w:jc w:val="both"/>
        <w:rPr>
          <w:rFonts w:ascii="Arial" w:eastAsia="Times New Roman" w:hAnsi="Arial" w:cs="Arial"/>
          <w:color w:val="000000"/>
          <w:sz w:val="18"/>
          <w:szCs w:val="18"/>
          <w:lang w:eastAsia="es-CO"/>
        </w:rPr>
      </w:pPr>
      <w:r w:rsidRPr="00D2718B">
        <w:rPr>
          <w:rFonts w:ascii="Segoe UI" w:eastAsia="Times New Roman" w:hAnsi="Segoe UI" w:cs="Segoe UI"/>
          <w:b/>
          <w:bCs/>
          <w:i/>
          <w:iCs/>
          <w:color w:val="000000"/>
          <w:sz w:val="18"/>
          <w:szCs w:val="18"/>
          <w:lang w:eastAsia="es-CO"/>
        </w:rPr>
        <w:lastRenderedPageBreak/>
        <w:t> </w:t>
      </w:r>
    </w:p>
    <w:p w:rsidR="00D2718B" w:rsidRPr="00D2718B" w:rsidRDefault="00D2718B" w:rsidP="00D2718B">
      <w:pPr>
        <w:spacing w:after="0" w:line="240" w:lineRule="auto"/>
        <w:ind w:left="284"/>
        <w:jc w:val="both"/>
        <w:rPr>
          <w:rFonts w:ascii="Arial" w:eastAsia="Times New Roman" w:hAnsi="Arial" w:cs="Arial"/>
          <w:color w:val="000000"/>
          <w:sz w:val="18"/>
          <w:szCs w:val="18"/>
          <w:lang w:eastAsia="es-CO"/>
        </w:rPr>
      </w:pPr>
      <w:r w:rsidRPr="00D2718B">
        <w:rPr>
          <w:rFonts w:ascii="Segoe UI" w:eastAsia="Times New Roman" w:hAnsi="Segoe UI" w:cs="Segoe UI"/>
          <w:b/>
          <w:bCs/>
          <w:i/>
          <w:iCs/>
          <w:color w:val="000000"/>
          <w:sz w:val="18"/>
          <w:szCs w:val="18"/>
          <w:lang w:eastAsia="es-CO"/>
        </w:rPr>
        <w:t>TERCERA: </w:t>
      </w:r>
      <w:r w:rsidRPr="00D2718B">
        <w:rPr>
          <w:rFonts w:ascii="Segoe UI" w:eastAsia="Times New Roman" w:hAnsi="Segoe UI" w:cs="Segoe UI"/>
          <w:i/>
          <w:iCs/>
          <w:color w:val="000000"/>
          <w:sz w:val="18"/>
          <w:szCs w:val="18"/>
          <w:lang w:eastAsia="es-CO"/>
        </w:rPr>
        <w:t>Que a título de restablecimiento del derecho, se concedan los costos presuntos equivalentes al 75% de los ingresos reconocidos por la DIAN, debido a que el Sr. BAYONA realizó contratos de obra civil a todo costo es decir, materiales, mano de obra y demás costos para la fabricación total de las obras de urbanismos que desarrolló en la ciudad.</w:t>
      </w:r>
    </w:p>
    <w:p w:rsidR="00D2718B" w:rsidRPr="00D2718B" w:rsidRDefault="00D2718B" w:rsidP="00D2718B">
      <w:pPr>
        <w:spacing w:after="0" w:line="240" w:lineRule="auto"/>
        <w:ind w:left="284"/>
        <w:jc w:val="both"/>
        <w:rPr>
          <w:rFonts w:ascii="Arial" w:eastAsia="Times New Roman" w:hAnsi="Arial" w:cs="Arial"/>
          <w:color w:val="000000"/>
          <w:sz w:val="18"/>
          <w:szCs w:val="18"/>
          <w:lang w:eastAsia="es-CO"/>
        </w:rPr>
      </w:pPr>
      <w:r w:rsidRPr="00D2718B">
        <w:rPr>
          <w:rFonts w:ascii="Segoe UI" w:eastAsia="Times New Roman" w:hAnsi="Segoe UI" w:cs="Segoe UI"/>
          <w:b/>
          <w:bCs/>
          <w:i/>
          <w:iCs/>
          <w:color w:val="000000"/>
          <w:sz w:val="18"/>
          <w:szCs w:val="18"/>
          <w:lang w:eastAsia="es-CO"/>
        </w:rPr>
        <w:t> </w:t>
      </w:r>
    </w:p>
    <w:p w:rsidR="00D2718B" w:rsidRPr="00D2718B" w:rsidRDefault="00D2718B" w:rsidP="00D2718B">
      <w:pPr>
        <w:spacing w:after="0" w:line="240" w:lineRule="auto"/>
        <w:ind w:left="284"/>
        <w:jc w:val="both"/>
        <w:rPr>
          <w:rFonts w:ascii="Arial" w:eastAsia="Times New Roman" w:hAnsi="Arial" w:cs="Arial"/>
          <w:color w:val="000000"/>
          <w:sz w:val="18"/>
          <w:szCs w:val="18"/>
          <w:lang w:eastAsia="es-CO"/>
        </w:rPr>
      </w:pPr>
      <w:r w:rsidRPr="00D2718B">
        <w:rPr>
          <w:rFonts w:ascii="Segoe UI" w:eastAsia="Times New Roman" w:hAnsi="Segoe UI" w:cs="Segoe UI"/>
          <w:b/>
          <w:bCs/>
          <w:i/>
          <w:iCs/>
          <w:color w:val="000000"/>
          <w:sz w:val="18"/>
          <w:szCs w:val="18"/>
          <w:lang w:eastAsia="es-CO"/>
        </w:rPr>
        <w:t>CUARTA: </w:t>
      </w:r>
      <w:r w:rsidRPr="00D2718B">
        <w:rPr>
          <w:rFonts w:ascii="Segoe UI" w:eastAsia="Times New Roman" w:hAnsi="Segoe UI" w:cs="Segoe UI"/>
          <w:i/>
          <w:iCs/>
          <w:color w:val="000000"/>
          <w:sz w:val="18"/>
          <w:szCs w:val="18"/>
          <w:lang w:eastAsia="es-CO"/>
        </w:rPr>
        <w:t>Solicito a su señoría se abstenga de ordenar la caución de que trata el artículo 140 C.C.A.”</w:t>
      </w:r>
      <w:bookmarkStart w:id="6" w:name="_ftnref7"/>
      <w:r w:rsidRPr="00D2718B">
        <w:rPr>
          <w:rFonts w:ascii="Segoe UI" w:eastAsia="Times New Roman" w:hAnsi="Segoe UI" w:cs="Segoe UI"/>
          <w:i/>
          <w:iCs/>
          <w:color w:val="000000"/>
          <w:sz w:val="18"/>
          <w:szCs w:val="18"/>
          <w:lang w:eastAsia="es-CO"/>
        </w:rPr>
        <w:fldChar w:fldCharType="begin"/>
      </w:r>
      <w:r w:rsidRPr="00D2718B">
        <w:rPr>
          <w:rFonts w:ascii="Segoe UI" w:eastAsia="Times New Roman" w:hAnsi="Segoe UI" w:cs="Segoe UI"/>
          <w:i/>
          <w:iCs/>
          <w:color w:val="000000"/>
          <w:sz w:val="18"/>
          <w:szCs w:val="18"/>
          <w:lang w:eastAsia="es-CO"/>
        </w:rPr>
        <w:instrText xml:space="preserve"> HYPERLINK "http://www.ceta.org.co/html/vista_de_un_documento.asp?DocumentoID=28851" \l "_ftn7" \o "" </w:instrText>
      </w:r>
      <w:r w:rsidRPr="00D2718B">
        <w:rPr>
          <w:rFonts w:ascii="Segoe UI" w:eastAsia="Times New Roman" w:hAnsi="Segoe UI" w:cs="Segoe UI"/>
          <w:i/>
          <w:iCs/>
          <w:color w:val="000000"/>
          <w:sz w:val="18"/>
          <w:szCs w:val="18"/>
          <w:lang w:eastAsia="es-CO"/>
        </w:rPr>
        <w:fldChar w:fldCharType="separate"/>
      </w:r>
      <w:r w:rsidRPr="00D2718B">
        <w:rPr>
          <w:rFonts w:ascii="Segoe UI" w:eastAsia="Times New Roman" w:hAnsi="Segoe UI" w:cs="Segoe UI"/>
          <w:b/>
          <w:bCs/>
          <w:i/>
          <w:iCs/>
          <w:color w:val="0089E1"/>
          <w:sz w:val="22"/>
          <w:lang w:eastAsia="es-CO"/>
        </w:rPr>
        <w:t>[7]</w:t>
      </w:r>
      <w:r w:rsidRPr="00D2718B">
        <w:rPr>
          <w:rFonts w:ascii="Segoe UI" w:eastAsia="Times New Roman" w:hAnsi="Segoe UI" w:cs="Segoe UI"/>
          <w:i/>
          <w:iCs/>
          <w:color w:val="000000"/>
          <w:sz w:val="18"/>
          <w:szCs w:val="18"/>
          <w:lang w:eastAsia="es-CO"/>
        </w:rPr>
        <w:fldChar w:fldCharType="end"/>
      </w:r>
      <w:bookmarkEnd w:id="6"/>
      <w:r w:rsidRPr="00D2718B">
        <w:rPr>
          <w:rFonts w:ascii="Segoe UI" w:eastAsia="Times New Roman" w:hAnsi="Segoe UI" w:cs="Segoe UI"/>
          <w:i/>
          <w:iCs/>
          <w:color w:val="000000"/>
          <w:sz w:val="18"/>
          <w:szCs w:val="18"/>
          <w:lang w:eastAsia="es-CO"/>
        </w:rPr>
        <w:t>.</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Citó como normas violadas las siguientes:</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Artículos 29 y 363 de la Constitución Política de Colombia.</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Artículo 10 de la Ley 1437 de 2011.</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Artículos </w:t>
      </w:r>
      <w:hyperlink r:id="rId5" w:tooltip="Estatuto Tributario CETA" w:history="1">
        <w:r w:rsidRPr="00D2718B">
          <w:rPr>
            <w:rFonts w:ascii="Segoe UI" w:eastAsia="Times New Roman" w:hAnsi="Segoe UI" w:cs="Segoe UI"/>
            <w:color w:val="0089E1"/>
            <w:sz w:val="18"/>
            <w:szCs w:val="18"/>
            <w:lang w:eastAsia="es-CO"/>
          </w:rPr>
          <w:t>58</w:t>
        </w:r>
      </w:hyperlink>
      <w:r w:rsidRPr="00D2718B">
        <w:rPr>
          <w:rFonts w:ascii="Segoe UI" w:eastAsia="Times New Roman" w:hAnsi="Segoe UI" w:cs="Segoe UI"/>
          <w:color w:val="000000"/>
          <w:sz w:val="18"/>
          <w:szCs w:val="18"/>
          <w:lang w:eastAsia="es-CO"/>
        </w:rPr>
        <w:t>, </w:t>
      </w:r>
      <w:hyperlink r:id="rId6" w:tooltip="Estatuto Tributario CETA" w:history="1">
        <w:r w:rsidRPr="00D2718B">
          <w:rPr>
            <w:rFonts w:ascii="Segoe UI" w:eastAsia="Times New Roman" w:hAnsi="Segoe UI" w:cs="Segoe UI"/>
            <w:color w:val="0089E1"/>
            <w:sz w:val="18"/>
            <w:szCs w:val="18"/>
            <w:lang w:eastAsia="es-CO"/>
          </w:rPr>
          <w:t>82</w:t>
        </w:r>
      </w:hyperlink>
      <w:r w:rsidRPr="00D2718B">
        <w:rPr>
          <w:rFonts w:ascii="Segoe UI" w:eastAsia="Times New Roman" w:hAnsi="Segoe UI" w:cs="Segoe UI"/>
          <w:color w:val="000000"/>
          <w:sz w:val="18"/>
          <w:szCs w:val="18"/>
          <w:lang w:eastAsia="es-CO"/>
        </w:rPr>
        <w:t>, </w:t>
      </w:r>
      <w:hyperlink r:id="rId7" w:tooltip="Estatuto Tributario CETA" w:history="1">
        <w:r w:rsidRPr="00D2718B">
          <w:rPr>
            <w:rFonts w:ascii="Segoe UI" w:eastAsia="Times New Roman" w:hAnsi="Segoe UI" w:cs="Segoe UI"/>
            <w:color w:val="0089E1"/>
            <w:sz w:val="18"/>
            <w:szCs w:val="18"/>
            <w:lang w:eastAsia="es-CO"/>
          </w:rPr>
          <w:t>683</w:t>
        </w:r>
      </w:hyperlink>
      <w:r w:rsidRPr="00D2718B">
        <w:rPr>
          <w:rFonts w:ascii="Segoe UI" w:eastAsia="Times New Roman" w:hAnsi="Segoe UI" w:cs="Segoe UI"/>
          <w:color w:val="000000"/>
          <w:sz w:val="18"/>
          <w:szCs w:val="18"/>
          <w:lang w:eastAsia="es-CO"/>
        </w:rPr>
        <w:t>, </w:t>
      </w:r>
      <w:hyperlink r:id="rId8" w:tooltip="Estatuto Tributario CETA" w:history="1">
        <w:r w:rsidRPr="00D2718B">
          <w:rPr>
            <w:rFonts w:ascii="Segoe UI" w:eastAsia="Times New Roman" w:hAnsi="Segoe UI" w:cs="Segoe UI"/>
            <w:color w:val="0089E1"/>
            <w:sz w:val="18"/>
            <w:szCs w:val="18"/>
            <w:lang w:eastAsia="es-CO"/>
          </w:rPr>
          <w:t>754</w:t>
        </w:r>
      </w:hyperlink>
      <w:r w:rsidRPr="00D2718B">
        <w:rPr>
          <w:rFonts w:ascii="Segoe UI" w:eastAsia="Times New Roman" w:hAnsi="Segoe UI" w:cs="Segoe UI"/>
          <w:color w:val="000000"/>
          <w:sz w:val="18"/>
          <w:szCs w:val="18"/>
          <w:lang w:eastAsia="es-CO"/>
        </w:rPr>
        <w:t>, </w:t>
      </w:r>
      <w:hyperlink r:id="rId9" w:tooltip="Estatuto Tributario CETA" w:history="1">
        <w:r w:rsidRPr="00D2718B">
          <w:rPr>
            <w:rFonts w:ascii="Segoe UI" w:eastAsia="Times New Roman" w:hAnsi="Segoe UI" w:cs="Segoe UI"/>
            <w:color w:val="0089E1"/>
            <w:sz w:val="18"/>
            <w:szCs w:val="18"/>
            <w:lang w:eastAsia="es-CO"/>
          </w:rPr>
          <w:t>754-1</w:t>
        </w:r>
      </w:hyperlink>
      <w:r w:rsidRPr="00D2718B">
        <w:rPr>
          <w:rFonts w:ascii="Segoe UI" w:eastAsia="Times New Roman" w:hAnsi="Segoe UI" w:cs="Segoe UI"/>
          <w:color w:val="000000"/>
          <w:sz w:val="18"/>
          <w:szCs w:val="18"/>
          <w:lang w:eastAsia="es-CO"/>
        </w:rPr>
        <w:t>, </w:t>
      </w:r>
      <w:hyperlink r:id="rId10" w:tooltip="Estatuto Tributario CETA" w:history="1">
        <w:r w:rsidRPr="00D2718B">
          <w:rPr>
            <w:rFonts w:ascii="Segoe UI" w:eastAsia="Times New Roman" w:hAnsi="Segoe UI" w:cs="Segoe UI"/>
            <w:color w:val="0089E1"/>
            <w:sz w:val="18"/>
            <w:szCs w:val="18"/>
            <w:lang w:eastAsia="es-CO"/>
          </w:rPr>
          <w:t>742</w:t>
        </w:r>
      </w:hyperlink>
      <w:r w:rsidRPr="00D2718B">
        <w:rPr>
          <w:rFonts w:ascii="Segoe UI" w:eastAsia="Times New Roman" w:hAnsi="Segoe UI" w:cs="Segoe UI"/>
          <w:color w:val="000000"/>
          <w:sz w:val="18"/>
          <w:szCs w:val="18"/>
          <w:lang w:eastAsia="es-CO"/>
        </w:rPr>
        <w:t>, </w:t>
      </w:r>
      <w:hyperlink r:id="rId11" w:tooltip="Estatuto Tributario CETA" w:history="1">
        <w:r w:rsidRPr="00D2718B">
          <w:rPr>
            <w:rFonts w:ascii="Segoe UI" w:eastAsia="Times New Roman" w:hAnsi="Segoe UI" w:cs="Segoe UI"/>
            <w:color w:val="0089E1"/>
            <w:sz w:val="18"/>
            <w:szCs w:val="18"/>
            <w:lang w:eastAsia="es-CO"/>
          </w:rPr>
          <w:t>743</w:t>
        </w:r>
      </w:hyperlink>
      <w:r w:rsidRPr="00D2718B">
        <w:rPr>
          <w:rFonts w:ascii="Segoe UI" w:eastAsia="Times New Roman" w:hAnsi="Segoe UI" w:cs="Segoe UI"/>
          <w:color w:val="000000"/>
          <w:sz w:val="18"/>
          <w:szCs w:val="18"/>
          <w:lang w:eastAsia="es-CO"/>
        </w:rPr>
        <w:t>, </w:t>
      </w:r>
      <w:hyperlink r:id="rId12" w:tooltip="Estatuto Tributario CETA" w:history="1">
        <w:r w:rsidRPr="00D2718B">
          <w:rPr>
            <w:rFonts w:ascii="Segoe UI" w:eastAsia="Times New Roman" w:hAnsi="Segoe UI" w:cs="Segoe UI"/>
            <w:color w:val="0089E1"/>
            <w:sz w:val="18"/>
            <w:szCs w:val="18"/>
            <w:lang w:eastAsia="es-CO"/>
          </w:rPr>
          <w:t>745</w:t>
        </w:r>
      </w:hyperlink>
      <w:r w:rsidRPr="00D2718B">
        <w:rPr>
          <w:rFonts w:ascii="Segoe UI" w:eastAsia="Times New Roman" w:hAnsi="Segoe UI" w:cs="Segoe UI"/>
          <w:color w:val="000000"/>
          <w:sz w:val="18"/>
          <w:szCs w:val="18"/>
          <w:lang w:eastAsia="es-CO"/>
        </w:rPr>
        <w:t> y </w:t>
      </w:r>
      <w:hyperlink r:id="rId13" w:tooltip="Estatuto Tributario CETA" w:history="1">
        <w:r w:rsidRPr="00D2718B">
          <w:rPr>
            <w:rFonts w:ascii="Segoe UI" w:eastAsia="Times New Roman" w:hAnsi="Segoe UI" w:cs="Segoe UI"/>
            <w:color w:val="0089E1"/>
            <w:sz w:val="18"/>
            <w:szCs w:val="18"/>
            <w:lang w:eastAsia="es-CO"/>
          </w:rPr>
          <w:t>746</w:t>
        </w:r>
      </w:hyperlink>
      <w:r w:rsidRPr="00D2718B">
        <w:rPr>
          <w:rFonts w:ascii="Segoe UI" w:eastAsia="Times New Roman" w:hAnsi="Segoe UI" w:cs="Segoe UI"/>
          <w:color w:val="000000"/>
          <w:sz w:val="18"/>
          <w:szCs w:val="18"/>
          <w:lang w:eastAsia="es-CO"/>
        </w:rPr>
        <w:t> del Estatuto Tributario.</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El concepto de la violación se sintetiza así:</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b/>
          <w:bCs/>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b/>
          <w:bCs/>
          <w:color w:val="000000"/>
          <w:sz w:val="18"/>
          <w:szCs w:val="18"/>
          <w:lang w:eastAsia="es-CO"/>
        </w:rPr>
        <w:t>1. Violación del </w:t>
      </w:r>
      <w:hyperlink r:id="rId14" w:tooltip="Estatuto Tributario CETA" w:history="1">
        <w:r w:rsidRPr="00D2718B">
          <w:rPr>
            <w:rFonts w:ascii="Segoe UI" w:eastAsia="Times New Roman" w:hAnsi="Segoe UI" w:cs="Segoe UI"/>
            <w:b/>
            <w:bCs/>
            <w:color w:val="0089E1"/>
            <w:sz w:val="18"/>
            <w:szCs w:val="18"/>
            <w:lang w:eastAsia="es-CO"/>
          </w:rPr>
          <w:t>artículo 82</w:t>
        </w:r>
      </w:hyperlink>
      <w:r w:rsidRPr="00D2718B">
        <w:rPr>
          <w:rFonts w:ascii="Segoe UI" w:eastAsia="Times New Roman" w:hAnsi="Segoe UI" w:cs="Segoe UI"/>
          <w:b/>
          <w:bCs/>
          <w:color w:val="000000"/>
          <w:sz w:val="18"/>
          <w:szCs w:val="18"/>
          <w:lang w:eastAsia="es-CO"/>
        </w:rPr>
        <w:t> del Estatuto Tributario</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La DIAN negó la aplicación del </w:t>
      </w:r>
      <w:hyperlink r:id="rId15" w:tooltip="Estatuto Tributario CETA" w:history="1">
        <w:r w:rsidRPr="00D2718B">
          <w:rPr>
            <w:rFonts w:ascii="Segoe UI" w:eastAsia="Times New Roman" w:hAnsi="Segoe UI" w:cs="Segoe UI"/>
            <w:color w:val="0089E1"/>
            <w:sz w:val="18"/>
            <w:szCs w:val="18"/>
            <w:lang w:eastAsia="es-CO"/>
          </w:rPr>
          <w:t>artículo 82</w:t>
        </w:r>
      </w:hyperlink>
      <w:r w:rsidRPr="00D2718B">
        <w:rPr>
          <w:rFonts w:ascii="Segoe UI" w:eastAsia="Times New Roman" w:hAnsi="Segoe UI" w:cs="Segoe UI"/>
          <w:color w:val="000000"/>
          <w:sz w:val="18"/>
          <w:szCs w:val="18"/>
          <w:lang w:eastAsia="es-CO"/>
        </w:rPr>
        <w:t> del Estatuto Tributario, sobre costos estimados, porque esta norma se aplica solamente en el caso de los costos por enajenación de activos y la actividad del actor es la prestación de servicios.</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Sin embargo, la estimación establecida en el inciso 3º del </w:t>
      </w:r>
      <w:hyperlink r:id="rId16" w:tooltip="Estatuto Tributario CETA" w:history="1">
        <w:r w:rsidRPr="00D2718B">
          <w:rPr>
            <w:rFonts w:ascii="Segoe UI" w:eastAsia="Times New Roman" w:hAnsi="Segoe UI" w:cs="Segoe UI"/>
            <w:color w:val="0089E1"/>
            <w:sz w:val="18"/>
            <w:szCs w:val="18"/>
            <w:lang w:eastAsia="es-CO"/>
          </w:rPr>
          <w:t>artículo 82</w:t>
        </w:r>
      </w:hyperlink>
      <w:r w:rsidRPr="00D2718B">
        <w:rPr>
          <w:rFonts w:ascii="Segoe UI" w:eastAsia="Times New Roman" w:hAnsi="Segoe UI" w:cs="Segoe UI"/>
          <w:color w:val="000000"/>
          <w:sz w:val="18"/>
          <w:szCs w:val="18"/>
          <w:lang w:eastAsia="es-CO"/>
        </w:rPr>
        <w:t> del E.T., se aplica si no es posible determinar los costos y deducciones de acuerdo con las opciones previstas en la primera parte de la norma.</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La actividad del contribuyente no es la prestación de servicios sino la construcción de bienes inmuebles, para lo cual celebra contratos de obra a todo costo, que incluyen la compra, el suministro y la transformación de los materiales necesarios para la ejecución de la obra.</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La actividad de la actora, que es construcción de obras, pertenece al código 4530, de acuerdo con la Resolución DIAN 11351 de 2005, de codificación de actividades económicas, vigente para la fecha de presentación de la declaración. No corresponde a la actividad de servicios de construcción, como lo ha sostenido la DIAN. Además, la definición de contrato de obra del Concepto Unificado de IVA no es aplicable para efectos del impuesto sobre la renta.</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En los contratos y las facturas allegados a la actuación administrativa se evidencia que el contrato de obra no se refiere solamente a la mano de obra como servicio, sino a la transformación de los materiales de construcción en un activo, denominado obra, en otras palabras, inmuebles (bienes reales materiales, no servicios).</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Con fundamento en el </w:t>
      </w:r>
      <w:hyperlink r:id="rId17" w:tooltip="Estatuto Tributario CETA" w:history="1">
        <w:r w:rsidRPr="00D2718B">
          <w:rPr>
            <w:rFonts w:ascii="Segoe UI" w:eastAsia="Times New Roman" w:hAnsi="Segoe UI" w:cs="Segoe UI"/>
            <w:color w:val="0089E1"/>
            <w:sz w:val="18"/>
            <w:szCs w:val="18"/>
            <w:lang w:eastAsia="es-CO"/>
          </w:rPr>
          <w:t>artículo 82</w:t>
        </w:r>
      </w:hyperlink>
      <w:r w:rsidRPr="00D2718B">
        <w:rPr>
          <w:rFonts w:ascii="Segoe UI" w:eastAsia="Times New Roman" w:hAnsi="Segoe UI" w:cs="Segoe UI"/>
          <w:color w:val="000000"/>
          <w:sz w:val="18"/>
          <w:szCs w:val="18"/>
          <w:lang w:eastAsia="es-CO"/>
        </w:rPr>
        <w:t> del E.T., es procedente estimar los costos en que se incurren en los contratos de obra civil a todo costo si se tiene en cuenta que el Consejo de Estado ha precisado que es contrario a la filosofía del impuesto sobre la renta, que este se establezca sobre el ingreso bruto originado en la venta de bienes sin depurar la base gravable, cuando a ello hay lugar según la ley</w:t>
      </w:r>
      <w:bookmarkStart w:id="7" w:name="_ftnref8"/>
      <w:r w:rsidRPr="00D2718B">
        <w:rPr>
          <w:rFonts w:ascii="Segoe UI" w:eastAsia="Times New Roman" w:hAnsi="Segoe UI" w:cs="Segoe UI"/>
          <w:color w:val="000000"/>
          <w:sz w:val="18"/>
          <w:szCs w:val="18"/>
          <w:lang w:eastAsia="es-CO"/>
        </w:rPr>
        <w:fldChar w:fldCharType="begin"/>
      </w:r>
      <w:r w:rsidRPr="00D2718B">
        <w:rPr>
          <w:rFonts w:ascii="Segoe UI" w:eastAsia="Times New Roman" w:hAnsi="Segoe UI" w:cs="Segoe UI"/>
          <w:color w:val="000000"/>
          <w:sz w:val="18"/>
          <w:szCs w:val="18"/>
          <w:lang w:eastAsia="es-CO"/>
        </w:rPr>
        <w:instrText xml:space="preserve"> HYPERLINK "http://www.ceta.org.co/html/vista_de_un_documento.asp?DocumentoID=28851" \l "_ftn8" \o "" </w:instrText>
      </w:r>
      <w:r w:rsidRPr="00D2718B">
        <w:rPr>
          <w:rFonts w:ascii="Segoe UI" w:eastAsia="Times New Roman" w:hAnsi="Segoe UI" w:cs="Segoe UI"/>
          <w:color w:val="000000"/>
          <w:sz w:val="18"/>
          <w:szCs w:val="18"/>
          <w:lang w:eastAsia="es-CO"/>
        </w:rPr>
        <w:fldChar w:fldCharType="separate"/>
      </w:r>
      <w:r w:rsidRPr="00D2718B">
        <w:rPr>
          <w:rFonts w:ascii="Segoe UI" w:eastAsia="Times New Roman" w:hAnsi="Segoe UI" w:cs="Segoe UI"/>
          <w:color w:val="0089E1"/>
          <w:sz w:val="22"/>
          <w:lang w:eastAsia="es-CO"/>
        </w:rPr>
        <w:t>[8]</w:t>
      </w:r>
      <w:r w:rsidRPr="00D2718B">
        <w:rPr>
          <w:rFonts w:ascii="Segoe UI" w:eastAsia="Times New Roman" w:hAnsi="Segoe UI" w:cs="Segoe UI"/>
          <w:color w:val="000000"/>
          <w:sz w:val="18"/>
          <w:szCs w:val="18"/>
          <w:lang w:eastAsia="es-CO"/>
        </w:rPr>
        <w:fldChar w:fldCharType="end"/>
      </w:r>
      <w:bookmarkEnd w:id="7"/>
      <w:r w:rsidRPr="00D2718B">
        <w:rPr>
          <w:rFonts w:ascii="Segoe UI" w:eastAsia="Times New Roman" w:hAnsi="Segoe UI" w:cs="Segoe UI"/>
          <w:color w:val="000000"/>
          <w:sz w:val="18"/>
          <w:szCs w:val="18"/>
          <w:lang w:eastAsia="es-CO"/>
        </w:rPr>
        <w:t>.</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Con base en la jurisprudencia de la Corte Constitucional</w:t>
      </w:r>
      <w:bookmarkStart w:id="8" w:name="_ftnref9"/>
      <w:r w:rsidRPr="00D2718B">
        <w:rPr>
          <w:rFonts w:ascii="Segoe UI" w:eastAsia="Times New Roman" w:hAnsi="Segoe UI" w:cs="Segoe UI"/>
          <w:color w:val="000000"/>
          <w:sz w:val="18"/>
          <w:szCs w:val="18"/>
          <w:lang w:eastAsia="es-CO"/>
        </w:rPr>
        <w:fldChar w:fldCharType="begin"/>
      </w:r>
      <w:r w:rsidRPr="00D2718B">
        <w:rPr>
          <w:rFonts w:ascii="Segoe UI" w:eastAsia="Times New Roman" w:hAnsi="Segoe UI" w:cs="Segoe UI"/>
          <w:color w:val="000000"/>
          <w:sz w:val="18"/>
          <w:szCs w:val="18"/>
          <w:lang w:eastAsia="es-CO"/>
        </w:rPr>
        <w:instrText xml:space="preserve"> HYPERLINK "http://www.ceta.org.co/html/vista_de_un_documento.asp?DocumentoID=28851" \l "_ftn9" \o "" </w:instrText>
      </w:r>
      <w:r w:rsidRPr="00D2718B">
        <w:rPr>
          <w:rFonts w:ascii="Segoe UI" w:eastAsia="Times New Roman" w:hAnsi="Segoe UI" w:cs="Segoe UI"/>
          <w:color w:val="000000"/>
          <w:sz w:val="18"/>
          <w:szCs w:val="18"/>
          <w:lang w:eastAsia="es-CO"/>
        </w:rPr>
        <w:fldChar w:fldCharType="separate"/>
      </w:r>
      <w:r w:rsidRPr="00D2718B">
        <w:rPr>
          <w:rFonts w:ascii="Segoe UI" w:eastAsia="Times New Roman" w:hAnsi="Segoe UI" w:cs="Segoe UI"/>
          <w:color w:val="0089E1"/>
          <w:sz w:val="22"/>
          <w:lang w:eastAsia="es-CO"/>
        </w:rPr>
        <w:t>[9]</w:t>
      </w:r>
      <w:r w:rsidRPr="00D2718B">
        <w:rPr>
          <w:rFonts w:ascii="Segoe UI" w:eastAsia="Times New Roman" w:hAnsi="Segoe UI" w:cs="Segoe UI"/>
          <w:color w:val="000000"/>
          <w:sz w:val="18"/>
          <w:szCs w:val="18"/>
          <w:lang w:eastAsia="es-CO"/>
        </w:rPr>
        <w:fldChar w:fldCharType="end"/>
      </w:r>
      <w:bookmarkEnd w:id="8"/>
      <w:r w:rsidRPr="00D2718B">
        <w:rPr>
          <w:rFonts w:ascii="Segoe UI" w:eastAsia="Times New Roman" w:hAnsi="Segoe UI" w:cs="Segoe UI"/>
          <w:color w:val="000000"/>
          <w:sz w:val="18"/>
          <w:szCs w:val="18"/>
          <w:lang w:eastAsia="es-CO"/>
        </w:rPr>
        <w:t> que hizo extensible la aplicación del artículo 228 de la C.P. al derecho tributario, la sustancia de la actividad de construcción que desarrolló el actor debe prevalecer sobre las formalidades. No obstante, distanciándose de la realidad, la DIAN catalogó indebidamente como servicio la actividad económica desarrollada por el contribuyente (4530).</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El rechazo de los costos en que incurrió el actor en el año gravable 2007 le impone una carga tributaria mayor y viola el </w:t>
      </w:r>
      <w:hyperlink r:id="rId18" w:tooltip="Estatuto Tributario CETA" w:history="1">
        <w:r w:rsidRPr="00D2718B">
          <w:rPr>
            <w:rFonts w:ascii="Segoe UI" w:eastAsia="Times New Roman" w:hAnsi="Segoe UI" w:cs="Segoe UI"/>
            <w:color w:val="0089E1"/>
            <w:sz w:val="18"/>
            <w:szCs w:val="18"/>
            <w:lang w:eastAsia="es-CO"/>
          </w:rPr>
          <w:t>artículo 683</w:t>
        </w:r>
      </w:hyperlink>
      <w:r w:rsidRPr="00D2718B">
        <w:rPr>
          <w:rFonts w:ascii="Segoe UI" w:eastAsia="Times New Roman" w:hAnsi="Segoe UI" w:cs="Segoe UI"/>
          <w:color w:val="000000"/>
          <w:sz w:val="18"/>
          <w:szCs w:val="18"/>
          <w:lang w:eastAsia="es-CO"/>
        </w:rPr>
        <w:t> del E.T.</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La DIAN es incongruente porque en la liquidación oficial de revisión manifestó que no se dan los supuestos del </w:t>
      </w:r>
      <w:hyperlink r:id="rId19" w:tooltip="Estatuto Tributario CETA" w:history="1">
        <w:r w:rsidRPr="00D2718B">
          <w:rPr>
            <w:rFonts w:ascii="Segoe UI" w:eastAsia="Times New Roman" w:hAnsi="Segoe UI" w:cs="Segoe UI"/>
            <w:color w:val="0089E1"/>
            <w:sz w:val="18"/>
            <w:szCs w:val="18"/>
            <w:lang w:eastAsia="es-CO"/>
          </w:rPr>
          <w:t>artículo 647</w:t>
        </w:r>
      </w:hyperlink>
      <w:r w:rsidRPr="00D2718B">
        <w:rPr>
          <w:rFonts w:ascii="Segoe UI" w:eastAsia="Times New Roman" w:hAnsi="Segoe UI" w:cs="Segoe UI"/>
          <w:color w:val="000000"/>
          <w:sz w:val="18"/>
          <w:szCs w:val="18"/>
          <w:lang w:eastAsia="es-CO"/>
        </w:rPr>
        <w:t> del E.T. para aplicar la sanción por inexactitud, por cuanto el rechazo de costos obedeció a la falta de requisitos formales y de soportes. No obstante, en ese acto impuso la sanción y en la resolución que resolvió el recurso de reconsideración la confirmó.</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b/>
          <w:bCs/>
          <w:color w:val="000000"/>
          <w:sz w:val="18"/>
          <w:szCs w:val="18"/>
          <w:lang w:eastAsia="es-CO"/>
        </w:rPr>
        <w:t>2. Violación al debido proceso</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Al no depurar los ingresos con los costos, la DIAN determinó una base gravable excesiva e injusta con lo cual violó el principio de capacidad contributiva que se encuentra implícito en el artículo 363 de la C.P., según lo precisa la sentencia C-236 de 1993 de la Corte Constitucional.</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lastRenderedPageBreak/>
        <w:t>La resolución que resolvió el recurso de reconsideración está falsamente motivada y vulnera el artículo 10 de la Ley 1437 de 2011, que establece la aplicación uniforme de las disposiciones constitucionales, legales y reglamentarias a situaciones que tengan los mismos supuestos fácticos y jurídicos. Ello, porque la DIAN fundamentó su decisión en una sentencia del Consejo de Estado que, en un supuesto diferente, no reconoció la aplicación del </w:t>
      </w:r>
      <w:hyperlink r:id="rId20" w:tooltip="Estatuto Tributario CETA" w:history="1">
        <w:r w:rsidRPr="00D2718B">
          <w:rPr>
            <w:rFonts w:ascii="Segoe UI" w:eastAsia="Times New Roman" w:hAnsi="Segoe UI" w:cs="Segoe UI"/>
            <w:color w:val="0089E1"/>
            <w:sz w:val="18"/>
            <w:szCs w:val="18"/>
            <w:lang w:eastAsia="es-CO"/>
          </w:rPr>
          <w:t>artículo 82</w:t>
        </w:r>
      </w:hyperlink>
      <w:r w:rsidRPr="00D2718B">
        <w:rPr>
          <w:rFonts w:ascii="Segoe UI" w:eastAsia="Times New Roman" w:hAnsi="Segoe UI" w:cs="Segoe UI"/>
          <w:color w:val="000000"/>
          <w:sz w:val="18"/>
          <w:szCs w:val="18"/>
          <w:lang w:eastAsia="es-CO"/>
        </w:rPr>
        <w:t> del E.T.</w:t>
      </w:r>
      <w:bookmarkStart w:id="9" w:name="_ftnref10"/>
      <w:r w:rsidRPr="00D2718B">
        <w:rPr>
          <w:rFonts w:ascii="Segoe UI" w:eastAsia="Times New Roman" w:hAnsi="Segoe UI" w:cs="Segoe UI"/>
          <w:color w:val="000000"/>
          <w:sz w:val="18"/>
          <w:szCs w:val="18"/>
          <w:lang w:eastAsia="es-CO"/>
        </w:rPr>
        <w:fldChar w:fldCharType="begin"/>
      </w:r>
      <w:r w:rsidRPr="00D2718B">
        <w:rPr>
          <w:rFonts w:ascii="Segoe UI" w:eastAsia="Times New Roman" w:hAnsi="Segoe UI" w:cs="Segoe UI"/>
          <w:color w:val="000000"/>
          <w:sz w:val="18"/>
          <w:szCs w:val="18"/>
          <w:lang w:eastAsia="es-CO"/>
        </w:rPr>
        <w:instrText xml:space="preserve"> HYPERLINK "http://www.ceta.org.co/html/vista_de_un_documento.asp?DocumentoID=28851" \l "_ftn10" \o "" </w:instrText>
      </w:r>
      <w:r w:rsidRPr="00D2718B">
        <w:rPr>
          <w:rFonts w:ascii="Segoe UI" w:eastAsia="Times New Roman" w:hAnsi="Segoe UI" w:cs="Segoe UI"/>
          <w:color w:val="000000"/>
          <w:sz w:val="18"/>
          <w:szCs w:val="18"/>
          <w:lang w:eastAsia="es-CO"/>
        </w:rPr>
        <w:fldChar w:fldCharType="separate"/>
      </w:r>
      <w:r w:rsidRPr="00D2718B">
        <w:rPr>
          <w:rFonts w:ascii="Segoe UI" w:eastAsia="Times New Roman" w:hAnsi="Segoe UI" w:cs="Segoe UI"/>
          <w:color w:val="0089E1"/>
          <w:sz w:val="22"/>
          <w:lang w:eastAsia="es-CO"/>
        </w:rPr>
        <w:t>[10]</w:t>
      </w:r>
      <w:r w:rsidRPr="00D2718B">
        <w:rPr>
          <w:rFonts w:ascii="Segoe UI" w:eastAsia="Times New Roman" w:hAnsi="Segoe UI" w:cs="Segoe UI"/>
          <w:color w:val="000000"/>
          <w:sz w:val="18"/>
          <w:szCs w:val="18"/>
          <w:lang w:eastAsia="es-CO"/>
        </w:rPr>
        <w:fldChar w:fldCharType="end"/>
      </w:r>
      <w:bookmarkEnd w:id="9"/>
      <w:r w:rsidRPr="00D2718B">
        <w:rPr>
          <w:rFonts w:ascii="Segoe UI" w:eastAsia="Times New Roman" w:hAnsi="Segoe UI" w:cs="Segoe UI"/>
          <w:color w:val="000000"/>
          <w:sz w:val="18"/>
          <w:szCs w:val="18"/>
          <w:lang w:eastAsia="es-CO"/>
        </w:rPr>
        <w:t>. En ese evento, la actividad productora de renta era la prestación de servicios turísticos, no de construcción de obra civil, como ocurre en esta oportunidad.</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Los valores solicitados por el actor constituyen costos, de modo que no tiene sustento fáctico ni jurídico la decisión de la Administración.</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La modificación de la liquidación privada parte de una apreciación errónea de los hechos e informaciones, así como de una conclusión con la que no hay conexidad lógica, pues es incongruente que al mismo tiempo que se reconocieron los ingresos por la construcción de obra de ingeniería civil, se desconocieron los costos estimados.</w:t>
      </w:r>
    </w:p>
    <w:p w:rsidR="00D2718B" w:rsidRPr="00D2718B" w:rsidRDefault="00D2718B" w:rsidP="00D2718B">
      <w:pPr>
        <w:spacing w:after="0" w:line="240" w:lineRule="auto"/>
        <w:jc w:val="center"/>
        <w:rPr>
          <w:rFonts w:ascii="Arial" w:eastAsia="Times New Roman" w:hAnsi="Arial" w:cs="Arial"/>
          <w:color w:val="000000"/>
          <w:sz w:val="18"/>
          <w:szCs w:val="18"/>
          <w:lang w:eastAsia="es-CO"/>
        </w:rPr>
      </w:pPr>
      <w:r w:rsidRPr="00D2718B">
        <w:rPr>
          <w:rFonts w:ascii="Segoe UI" w:eastAsia="Times New Roman" w:hAnsi="Segoe UI" w:cs="Segoe UI"/>
          <w:b/>
          <w:bCs/>
          <w:color w:val="000000"/>
          <w:sz w:val="18"/>
          <w:szCs w:val="18"/>
          <w:lang w:eastAsia="es-CO"/>
        </w:rPr>
        <w:t> </w:t>
      </w:r>
    </w:p>
    <w:p w:rsidR="00D2718B" w:rsidRPr="00D2718B" w:rsidRDefault="00D2718B" w:rsidP="00D2718B">
      <w:pPr>
        <w:spacing w:after="0" w:line="240" w:lineRule="auto"/>
        <w:jc w:val="center"/>
        <w:rPr>
          <w:rFonts w:ascii="Arial" w:eastAsia="Times New Roman" w:hAnsi="Arial" w:cs="Arial"/>
          <w:color w:val="000000"/>
          <w:sz w:val="18"/>
          <w:szCs w:val="18"/>
          <w:lang w:eastAsia="es-CO"/>
        </w:rPr>
      </w:pPr>
      <w:r w:rsidRPr="00D2718B">
        <w:rPr>
          <w:rFonts w:ascii="Segoe UI" w:eastAsia="Times New Roman" w:hAnsi="Segoe UI" w:cs="Segoe UI"/>
          <w:b/>
          <w:bCs/>
          <w:color w:val="000000"/>
          <w:sz w:val="18"/>
          <w:szCs w:val="18"/>
          <w:lang w:eastAsia="es-CO"/>
        </w:rPr>
        <w:t>CONTESTACIÓN DE LA DEMANDA</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El demandado solicitó que se negaran las súplicas de la demanda por los motivos que se sintetizan así</w:t>
      </w:r>
      <w:bookmarkStart w:id="10" w:name="_ftnref11"/>
      <w:r w:rsidRPr="00D2718B">
        <w:rPr>
          <w:rFonts w:ascii="Segoe UI" w:eastAsia="Times New Roman" w:hAnsi="Segoe UI" w:cs="Segoe UI"/>
          <w:color w:val="000000"/>
          <w:sz w:val="18"/>
          <w:szCs w:val="18"/>
          <w:lang w:eastAsia="es-CO"/>
        </w:rPr>
        <w:fldChar w:fldCharType="begin"/>
      </w:r>
      <w:r w:rsidRPr="00D2718B">
        <w:rPr>
          <w:rFonts w:ascii="Segoe UI" w:eastAsia="Times New Roman" w:hAnsi="Segoe UI" w:cs="Segoe UI"/>
          <w:color w:val="000000"/>
          <w:sz w:val="18"/>
          <w:szCs w:val="18"/>
          <w:lang w:eastAsia="es-CO"/>
        </w:rPr>
        <w:instrText xml:space="preserve"> HYPERLINK "http://www.ceta.org.co/html/vista_de_un_documento.asp?DocumentoID=28851" \l "_ftn11" \o "" </w:instrText>
      </w:r>
      <w:r w:rsidRPr="00D2718B">
        <w:rPr>
          <w:rFonts w:ascii="Segoe UI" w:eastAsia="Times New Roman" w:hAnsi="Segoe UI" w:cs="Segoe UI"/>
          <w:color w:val="000000"/>
          <w:sz w:val="18"/>
          <w:szCs w:val="18"/>
          <w:lang w:eastAsia="es-CO"/>
        </w:rPr>
        <w:fldChar w:fldCharType="separate"/>
      </w:r>
      <w:r w:rsidRPr="00D2718B">
        <w:rPr>
          <w:rFonts w:ascii="Segoe UI" w:eastAsia="Times New Roman" w:hAnsi="Segoe UI" w:cs="Segoe UI"/>
          <w:color w:val="0089E1"/>
          <w:sz w:val="22"/>
          <w:lang w:eastAsia="es-CO"/>
        </w:rPr>
        <w:t>[11]</w:t>
      </w:r>
      <w:r w:rsidRPr="00D2718B">
        <w:rPr>
          <w:rFonts w:ascii="Segoe UI" w:eastAsia="Times New Roman" w:hAnsi="Segoe UI" w:cs="Segoe UI"/>
          <w:color w:val="000000"/>
          <w:sz w:val="18"/>
          <w:szCs w:val="18"/>
          <w:lang w:eastAsia="es-CO"/>
        </w:rPr>
        <w:fldChar w:fldCharType="end"/>
      </w:r>
      <w:bookmarkEnd w:id="10"/>
      <w:r w:rsidRPr="00D2718B">
        <w:rPr>
          <w:rFonts w:ascii="Segoe UI" w:eastAsia="Times New Roman" w:hAnsi="Segoe UI" w:cs="Segoe UI"/>
          <w:color w:val="000000"/>
          <w:sz w:val="18"/>
          <w:szCs w:val="18"/>
          <w:lang w:eastAsia="es-CO"/>
        </w:rPr>
        <w:t>:</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El </w:t>
      </w:r>
      <w:hyperlink r:id="rId21" w:tooltip="Estatuto Tributario CETA" w:history="1">
        <w:r w:rsidRPr="00D2718B">
          <w:rPr>
            <w:rFonts w:ascii="Segoe UI" w:eastAsia="Times New Roman" w:hAnsi="Segoe UI" w:cs="Segoe UI"/>
            <w:color w:val="0089E1"/>
            <w:sz w:val="18"/>
            <w:szCs w:val="18"/>
            <w:lang w:eastAsia="es-CO"/>
          </w:rPr>
          <w:t>artículo 82</w:t>
        </w:r>
      </w:hyperlink>
      <w:r w:rsidRPr="00D2718B">
        <w:rPr>
          <w:rFonts w:ascii="Segoe UI" w:eastAsia="Times New Roman" w:hAnsi="Segoe UI" w:cs="Segoe UI"/>
          <w:color w:val="000000"/>
          <w:sz w:val="18"/>
          <w:szCs w:val="18"/>
          <w:lang w:eastAsia="es-CO"/>
        </w:rPr>
        <w:t> del E.T. faculta a la Administración para apartarse del costo declarado cuando existen indicios de que este no es real y no se conozca el costo de los activos enajenados, o cuando no sea posible establecerlo mediante pruebas directas, como las declaraciones de renta del mismo contribuyente o de terceros, su contabilidad o los comprobantes internos y externos, es decir, los documentos que dan cuenta de la adquisición de los activos que se enajenan.</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La norma en mención permite que el contribuyente demuestre a la DIAN los costos. De hecho, el actor suministró la relación de costos y deducciones. Sin embargo, estos no cumplían los requisitos para la procedencia de los costos estimados, pues, contrario a lo afirmado por el demandante, el presente asunto no trata de la enajenación de activos sino de la prestación de un servicio. De ahí que no resulta procedente dar aplicación a los costos estimados.</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La actividad desarrollada por el contribuyente es de servicios porque se encuentra registrado en el RUT con la actividad 4530, que corresponde a “construcción de obras de ingeniería civil” y en desarrollo de su actividad económica, el actor obtuvo ingresos por $622.391.000, correspondientes al renglón “ingresos por honorarios, comisiones y servicios”.</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Las pruebas aportadas por el contribuyente, como la copia de los contratos de obra y las facturas, comprueban que el contribuyente ejerce una actividad de prestación de servicios. Sin embargo, no demuestran que el contribuyente tuviera derecho a los costos estimados. Por ello, son irrelevantes, inconducentes e impertinentes como prueba para la aplicación de costos estimados.</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La modificación de la declaración privada consultó los principios de justicia, equidad y capacidad contributiva, por lo cual quedó plenamente establecida la nueva obligación tributaria del contribuyente.</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La actuación administrativa se surtió por los funcionarios competentes, se dio cumplimiento a lo dispuesto en las normas que regulan la materia y se respetó el derecho de contradicción del contribuyente. Asimismo, se garantizó el derecho de defensa, según se corrobora con las respuestas radicadas ante la DIAN y con la interposición del recurso de reconsideración.</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En la liquidación oficial de revisión se expresaron los fundamentos de hecho y de derecho, así como la prueba del rechazo de los costos, con expresa referencia a los argumentos del actor, presentados en la respuesta al requerimiento especial.</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No existe falsa motivación de la resolución que resolvió el recurso de reconsideración porque para confirmar la liquidación oficial se hizo un estudio del proceso y se valoró el hecho de que el contribuyente no cumplió los requisitos del </w:t>
      </w:r>
      <w:hyperlink r:id="rId22" w:tooltip="Estatuto Tributario CETA" w:history="1">
        <w:r w:rsidRPr="00D2718B">
          <w:rPr>
            <w:rFonts w:ascii="Segoe UI" w:eastAsia="Times New Roman" w:hAnsi="Segoe UI" w:cs="Segoe UI"/>
            <w:color w:val="0089E1"/>
            <w:sz w:val="18"/>
            <w:szCs w:val="18"/>
            <w:lang w:eastAsia="es-CO"/>
          </w:rPr>
          <w:t>artículo 177-2</w:t>
        </w:r>
      </w:hyperlink>
      <w:r w:rsidRPr="00D2718B">
        <w:rPr>
          <w:rFonts w:ascii="Segoe UI" w:eastAsia="Times New Roman" w:hAnsi="Segoe UI" w:cs="Segoe UI"/>
          <w:color w:val="000000"/>
          <w:sz w:val="18"/>
          <w:szCs w:val="18"/>
          <w:lang w:eastAsia="es-CO"/>
        </w:rPr>
        <w:t> del E.T. lo que originó el rechazo de los costos declarados.</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El actor no pudo desvirtuar lo que tiene probado la DIAN. Ni siquiera con ocasión del recurso de reconsideración aportó pruebas que desestimaran los planteamientos de la entidad, a pesar de que le corresponde probar sus argumentos. En consecuencia, debe condenarse en costas a la demandante.</w:t>
      </w:r>
    </w:p>
    <w:p w:rsidR="00D2718B" w:rsidRPr="00D2718B" w:rsidRDefault="00D2718B" w:rsidP="00D2718B">
      <w:pPr>
        <w:spacing w:after="0" w:line="240" w:lineRule="auto"/>
        <w:jc w:val="center"/>
        <w:rPr>
          <w:rFonts w:ascii="Arial" w:eastAsia="Times New Roman" w:hAnsi="Arial" w:cs="Arial"/>
          <w:color w:val="000000"/>
          <w:sz w:val="18"/>
          <w:szCs w:val="18"/>
          <w:lang w:eastAsia="es-CO"/>
        </w:rPr>
      </w:pPr>
      <w:r w:rsidRPr="00D2718B">
        <w:rPr>
          <w:rFonts w:ascii="Segoe UI" w:eastAsia="Times New Roman" w:hAnsi="Segoe UI" w:cs="Segoe UI"/>
          <w:b/>
          <w:bCs/>
          <w:color w:val="000000"/>
          <w:sz w:val="18"/>
          <w:szCs w:val="18"/>
          <w:lang w:eastAsia="es-CO"/>
        </w:rPr>
        <w:t> </w:t>
      </w:r>
    </w:p>
    <w:p w:rsidR="00D2718B" w:rsidRPr="00D2718B" w:rsidRDefault="00D2718B" w:rsidP="00D2718B">
      <w:pPr>
        <w:spacing w:after="0" w:line="240" w:lineRule="auto"/>
        <w:jc w:val="center"/>
        <w:rPr>
          <w:rFonts w:ascii="Arial" w:eastAsia="Times New Roman" w:hAnsi="Arial" w:cs="Arial"/>
          <w:color w:val="000000"/>
          <w:sz w:val="18"/>
          <w:szCs w:val="18"/>
          <w:lang w:eastAsia="es-CO"/>
        </w:rPr>
      </w:pPr>
      <w:r w:rsidRPr="00D2718B">
        <w:rPr>
          <w:rFonts w:ascii="Segoe UI" w:eastAsia="Times New Roman" w:hAnsi="Segoe UI" w:cs="Segoe UI"/>
          <w:b/>
          <w:bCs/>
          <w:color w:val="000000"/>
          <w:sz w:val="18"/>
          <w:szCs w:val="18"/>
          <w:lang w:eastAsia="es-CO"/>
        </w:rPr>
        <w:t>SENTENCIA APELADA</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El Tribunal negó las pretensiones de la demanda, por las razones que se resumen así</w:t>
      </w:r>
      <w:bookmarkStart w:id="11" w:name="_ftnref12"/>
      <w:r w:rsidRPr="00D2718B">
        <w:rPr>
          <w:rFonts w:ascii="Segoe UI" w:eastAsia="Times New Roman" w:hAnsi="Segoe UI" w:cs="Segoe UI"/>
          <w:color w:val="000000"/>
          <w:sz w:val="18"/>
          <w:szCs w:val="18"/>
          <w:lang w:eastAsia="es-CO"/>
        </w:rPr>
        <w:fldChar w:fldCharType="begin"/>
      </w:r>
      <w:r w:rsidRPr="00D2718B">
        <w:rPr>
          <w:rFonts w:ascii="Segoe UI" w:eastAsia="Times New Roman" w:hAnsi="Segoe UI" w:cs="Segoe UI"/>
          <w:color w:val="000000"/>
          <w:sz w:val="18"/>
          <w:szCs w:val="18"/>
          <w:lang w:eastAsia="es-CO"/>
        </w:rPr>
        <w:instrText xml:space="preserve"> HYPERLINK "http://www.ceta.org.co/html/vista_de_un_documento.asp?DocumentoID=28851" \l "_ftn12" \o "" </w:instrText>
      </w:r>
      <w:r w:rsidRPr="00D2718B">
        <w:rPr>
          <w:rFonts w:ascii="Segoe UI" w:eastAsia="Times New Roman" w:hAnsi="Segoe UI" w:cs="Segoe UI"/>
          <w:color w:val="000000"/>
          <w:sz w:val="18"/>
          <w:szCs w:val="18"/>
          <w:lang w:eastAsia="es-CO"/>
        </w:rPr>
        <w:fldChar w:fldCharType="separate"/>
      </w:r>
      <w:r w:rsidRPr="00D2718B">
        <w:rPr>
          <w:rFonts w:ascii="Segoe UI" w:eastAsia="Times New Roman" w:hAnsi="Segoe UI" w:cs="Segoe UI"/>
          <w:color w:val="0089E1"/>
          <w:sz w:val="22"/>
          <w:lang w:eastAsia="es-CO"/>
        </w:rPr>
        <w:t>[12]</w:t>
      </w:r>
      <w:r w:rsidRPr="00D2718B">
        <w:rPr>
          <w:rFonts w:ascii="Segoe UI" w:eastAsia="Times New Roman" w:hAnsi="Segoe UI" w:cs="Segoe UI"/>
          <w:color w:val="000000"/>
          <w:sz w:val="18"/>
          <w:szCs w:val="18"/>
          <w:lang w:eastAsia="es-CO"/>
        </w:rPr>
        <w:fldChar w:fldCharType="end"/>
      </w:r>
      <w:bookmarkEnd w:id="11"/>
      <w:r w:rsidRPr="00D2718B">
        <w:rPr>
          <w:rFonts w:ascii="Segoe UI" w:eastAsia="Times New Roman" w:hAnsi="Segoe UI" w:cs="Segoe UI"/>
          <w:color w:val="000000"/>
          <w:sz w:val="18"/>
          <w:szCs w:val="18"/>
          <w:lang w:eastAsia="es-CO"/>
        </w:rPr>
        <w:t>:</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lastRenderedPageBreak/>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No hay mérito para aplicar los costos estimados porque no se cumplen los requisitos del </w:t>
      </w:r>
      <w:hyperlink r:id="rId23" w:tooltip="Estatuto Tributario CETA" w:history="1">
        <w:r w:rsidRPr="00D2718B">
          <w:rPr>
            <w:rFonts w:ascii="Segoe UI" w:eastAsia="Times New Roman" w:hAnsi="Segoe UI" w:cs="Segoe UI"/>
            <w:color w:val="0089E1"/>
            <w:sz w:val="18"/>
            <w:szCs w:val="18"/>
            <w:lang w:eastAsia="es-CO"/>
          </w:rPr>
          <w:t>artículo 82</w:t>
        </w:r>
      </w:hyperlink>
      <w:r w:rsidRPr="00D2718B">
        <w:rPr>
          <w:rFonts w:ascii="Segoe UI" w:eastAsia="Times New Roman" w:hAnsi="Segoe UI" w:cs="Segoe UI"/>
          <w:color w:val="000000"/>
          <w:sz w:val="18"/>
          <w:szCs w:val="18"/>
          <w:lang w:eastAsia="es-CO"/>
        </w:rPr>
        <w:t> inciso 1° del E.T. Además, la actividad del contribuyente es la prestación de servicios, no la enajenación de activos, que es la que permite la aplicación de los costos estimados.</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Igualmente, no demostró que los costos eran procedentes ni que la DIAN pidió requisitos adicionales a los previstos en las normas o que no valoró las pruebas aportadas al proceso administrativo.</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Por haber sido vencida en el presente debate, conforme al numeral 1º del artículo 392 del Código de Procedimiento Civil, aplicable por remisión del artículo 188 del C.P.A.C.A, se condena a la demandante a pagar, a título de costas, las expensas que determine la Secretaría del Tribunal y las agencias en derecho en cuantía correspondiente al 0.1% del valor de las pretensiones negadas.</w:t>
      </w:r>
    </w:p>
    <w:p w:rsidR="00D2718B" w:rsidRPr="00D2718B" w:rsidRDefault="00D2718B" w:rsidP="00D2718B">
      <w:pPr>
        <w:spacing w:after="0" w:line="240" w:lineRule="auto"/>
        <w:jc w:val="center"/>
        <w:rPr>
          <w:rFonts w:ascii="Arial" w:eastAsia="Times New Roman" w:hAnsi="Arial" w:cs="Arial"/>
          <w:color w:val="000000"/>
          <w:sz w:val="18"/>
          <w:szCs w:val="18"/>
          <w:lang w:eastAsia="es-CO"/>
        </w:rPr>
      </w:pPr>
      <w:r w:rsidRPr="00D2718B">
        <w:rPr>
          <w:rFonts w:ascii="Segoe UI" w:eastAsia="Times New Roman" w:hAnsi="Segoe UI" w:cs="Segoe UI"/>
          <w:b/>
          <w:bCs/>
          <w:color w:val="000000"/>
          <w:sz w:val="18"/>
          <w:szCs w:val="18"/>
          <w:lang w:eastAsia="es-CO"/>
        </w:rPr>
        <w:t> </w:t>
      </w:r>
    </w:p>
    <w:p w:rsidR="00D2718B" w:rsidRPr="00D2718B" w:rsidRDefault="00D2718B" w:rsidP="00D2718B">
      <w:pPr>
        <w:spacing w:after="0" w:line="240" w:lineRule="auto"/>
        <w:jc w:val="center"/>
        <w:rPr>
          <w:rFonts w:ascii="Arial" w:eastAsia="Times New Roman" w:hAnsi="Arial" w:cs="Arial"/>
          <w:color w:val="000000"/>
          <w:sz w:val="18"/>
          <w:szCs w:val="18"/>
          <w:lang w:eastAsia="es-CO"/>
        </w:rPr>
      </w:pPr>
      <w:r w:rsidRPr="00D2718B">
        <w:rPr>
          <w:rFonts w:ascii="Segoe UI" w:eastAsia="Times New Roman" w:hAnsi="Segoe UI" w:cs="Segoe UI"/>
          <w:b/>
          <w:bCs/>
          <w:color w:val="000000"/>
          <w:sz w:val="18"/>
          <w:szCs w:val="18"/>
          <w:lang w:eastAsia="es-CO"/>
        </w:rPr>
        <w:t>RECURSO DE APELACIÓN</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b/>
          <w:bCs/>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b/>
          <w:bCs/>
          <w:color w:val="000000"/>
          <w:sz w:val="18"/>
          <w:szCs w:val="18"/>
          <w:lang w:eastAsia="es-CO"/>
        </w:rPr>
        <w:t>La demandante </w:t>
      </w:r>
      <w:r w:rsidRPr="00D2718B">
        <w:rPr>
          <w:rFonts w:ascii="Segoe UI" w:eastAsia="Times New Roman" w:hAnsi="Segoe UI" w:cs="Segoe UI"/>
          <w:color w:val="000000"/>
          <w:sz w:val="18"/>
          <w:szCs w:val="18"/>
          <w:lang w:eastAsia="es-CO"/>
        </w:rPr>
        <w:t>apeló por las siguientes razones</w:t>
      </w:r>
      <w:bookmarkStart w:id="12" w:name="_ftnref13"/>
      <w:r w:rsidRPr="00D2718B">
        <w:rPr>
          <w:rFonts w:ascii="Segoe UI" w:eastAsia="Times New Roman" w:hAnsi="Segoe UI" w:cs="Segoe UI"/>
          <w:color w:val="000000"/>
          <w:sz w:val="18"/>
          <w:szCs w:val="18"/>
          <w:lang w:eastAsia="es-CO"/>
        </w:rPr>
        <w:fldChar w:fldCharType="begin"/>
      </w:r>
      <w:r w:rsidRPr="00D2718B">
        <w:rPr>
          <w:rFonts w:ascii="Segoe UI" w:eastAsia="Times New Roman" w:hAnsi="Segoe UI" w:cs="Segoe UI"/>
          <w:color w:val="000000"/>
          <w:sz w:val="18"/>
          <w:szCs w:val="18"/>
          <w:lang w:eastAsia="es-CO"/>
        </w:rPr>
        <w:instrText xml:space="preserve"> HYPERLINK "http://www.ceta.org.co/html/vista_de_un_documento.asp?DocumentoID=28851" \l "_ftn13" \o "" </w:instrText>
      </w:r>
      <w:r w:rsidRPr="00D2718B">
        <w:rPr>
          <w:rFonts w:ascii="Segoe UI" w:eastAsia="Times New Roman" w:hAnsi="Segoe UI" w:cs="Segoe UI"/>
          <w:color w:val="000000"/>
          <w:sz w:val="18"/>
          <w:szCs w:val="18"/>
          <w:lang w:eastAsia="es-CO"/>
        </w:rPr>
        <w:fldChar w:fldCharType="separate"/>
      </w:r>
      <w:r w:rsidRPr="00D2718B">
        <w:rPr>
          <w:rFonts w:ascii="Segoe UI" w:eastAsia="Times New Roman" w:hAnsi="Segoe UI" w:cs="Segoe UI"/>
          <w:color w:val="0089E1"/>
          <w:sz w:val="22"/>
          <w:lang w:eastAsia="es-CO"/>
        </w:rPr>
        <w:t>[13]</w:t>
      </w:r>
      <w:r w:rsidRPr="00D2718B">
        <w:rPr>
          <w:rFonts w:ascii="Segoe UI" w:eastAsia="Times New Roman" w:hAnsi="Segoe UI" w:cs="Segoe UI"/>
          <w:color w:val="000000"/>
          <w:sz w:val="18"/>
          <w:szCs w:val="18"/>
          <w:lang w:eastAsia="es-CO"/>
        </w:rPr>
        <w:fldChar w:fldCharType="end"/>
      </w:r>
      <w:bookmarkEnd w:id="12"/>
      <w:r w:rsidRPr="00D2718B">
        <w:rPr>
          <w:rFonts w:ascii="Segoe UI" w:eastAsia="Times New Roman" w:hAnsi="Segoe UI" w:cs="Segoe UI"/>
          <w:color w:val="000000"/>
          <w:sz w:val="18"/>
          <w:szCs w:val="18"/>
          <w:lang w:eastAsia="es-CO"/>
        </w:rPr>
        <w:t>:</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En la audiencia de fallo, cuando se delimitó el problema jurídico, no se tuvo en cuenta la argumentación contradictoria de la Administración para imponer la sanción por inexactitud. En efecto, en la liquidación oficial de revisión, la DIAN se contradijo al expresar que no procedía imponer dicha sanción porque las circunstancias que motivaron la desestimación de los costos y deducciones obedecían al no envío de los soportes respectivos y al incumplimiento de requisitos formales. Sin embargo, sancionó por inexactitud al actor.</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A pesar de no contar con pruebas directas, el Tribunal no aplicó el </w:t>
      </w:r>
      <w:hyperlink r:id="rId24" w:tooltip="Estatuto Tributario CETA" w:history="1">
        <w:r w:rsidRPr="00D2718B">
          <w:rPr>
            <w:rFonts w:ascii="Segoe UI" w:eastAsia="Times New Roman" w:hAnsi="Segoe UI" w:cs="Segoe UI"/>
            <w:color w:val="0089E1"/>
            <w:sz w:val="18"/>
            <w:szCs w:val="18"/>
            <w:lang w:eastAsia="es-CO"/>
          </w:rPr>
          <w:t>artículo 82</w:t>
        </w:r>
      </w:hyperlink>
      <w:r w:rsidRPr="00D2718B">
        <w:rPr>
          <w:rFonts w:ascii="Segoe UI" w:eastAsia="Times New Roman" w:hAnsi="Segoe UI" w:cs="Segoe UI"/>
          <w:color w:val="000000"/>
          <w:sz w:val="18"/>
          <w:szCs w:val="18"/>
          <w:lang w:eastAsia="es-CO"/>
        </w:rPr>
        <w:t> inciso 3º del E.T., que dispone que hay lugar a la aplicación de la presunción de costos y deducciones si en los casos planteados en la primera parte de la norma no es posible demostrar los costos. Tampoco se pronunció sobre la errónea interpretación que hizo la DIAN de la Resolución 11351 de 2005 al señalar que el código 4530 – construcción de obras de ingeniería civil- corresponde a la actividad de servicios que, además de ser ajena a la realidad, afecta gravemente al actor, porque le impide estimar costos.</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Los antecedentes y el problema jurídico de la sentencia citada por el Tribunal</w:t>
      </w:r>
      <w:bookmarkStart w:id="13" w:name="_ftnref14"/>
      <w:r w:rsidRPr="00D2718B">
        <w:rPr>
          <w:rFonts w:ascii="Segoe UI" w:eastAsia="Times New Roman" w:hAnsi="Segoe UI" w:cs="Segoe UI"/>
          <w:color w:val="000000"/>
          <w:sz w:val="18"/>
          <w:szCs w:val="18"/>
          <w:lang w:eastAsia="es-CO"/>
        </w:rPr>
        <w:fldChar w:fldCharType="begin"/>
      </w:r>
      <w:r w:rsidRPr="00D2718B">
        <w:rPr>
          <w:rFonts w:ascii="Segoe UI" w:eastAsia="Times New Roman" w:hAnsi="Segoe UI" w:cs="Segoe UI"/>
          <w:color w:val="000000"/>
          <w:sz w:val="18"/>
          <w:szCs w:val="18"/>
          <w:lang w:eastAsia="es-CO"/>
        </w:rPr>
        <w:instrText xml:space="preserve"> HYPERLINK "http://www.ceta.org.co/html/vista_de_un_documento.asp?DocumentoID=28851" \l "_ftn14" \o "" </w:instrText>
      </w:r>
      <w:r w:rsidRPr="00D2718B">
        <w:rPr>
          <w:rFonts w:ascii="Segoe UI" w:eastAsia="Times New Roman" w:hAnsi="Segoe UI" w:cs="Segoe UI"/>
          <w:color w:val="000000"/>
          <w:sz w:val="18"/>
          <w:szCs w:val="18"/>
          <w:lang w:eastAsia="es-CO"/>
        </w:rPr>
        <w:fldChar w:fldCharType="separate"/>
      </w:r>
      <w:r w:rsidRPr="00D2718B">
        <w:rPr>
          <w:rFonts w:ascii="Segoe UI" w:eastAsia="Times New Roman" w:hAnsi="Segoe UI" w:cs="Segoe UI"/>
          <w:color w:val="0089E1"/>
          <w:sz w:val="22"/>
          <w:lang w:eastAsia="es-CO"/>
        </w:rPr>
        <w:t>[14]</w:t>
      </w:r>
      <w:r w:rsidRPr="00D2718B">
        <w:rPr>
          <w:rFonts w:ascii="Segoe UI" w:eastAsia="Times New Roman" w:hAnsi="Segoe UI" w:cs="Segoe UI"/>
          <w:color w:val="000000"/>
          <w:sz w:val="18"/>
          <w:szCs w:val="18"/>
          <w:lang w:eastAsia="es-CO"/>
        </w:rPr>
        <w:fldChar w:fldCharType="end"/>
      </w:r>
      <w:bookmarkEnd w:id="13"/>
      <w:r w:rsidRPr="00D2718B">
        <w:rPr>
          <w:rFonts w:ascii="Segoe UI" w:eastAsia="Times New Roman" w:hAnsi="Segoe UI" w:cs="Segoe UI"/>
          <w:color w:val="000000"/>
          <w:sz w:val="18"/>
          <w:szCs w:val="18"/>
          <w:lang w:eastAsia="es-CO"/>
        </w:rPr>
        <w:t> no tienen identidad con el presente debate, pues en aquel caso se puso en duda la construcción de una obra y en el presente asunto ese hecho no se controvierte, de manera que no debe tenerse en cuenta en esta oportunidad.</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No se dio prevalencia al derecho sustancial sobre la formalidad, pues de habérsele dado valor probatorio a los documentos aportados por el contribuyente, esto es, los contratos de obra civil a todo costo y las facturas, se hubiera llegado a la conclusión de que no podía cumplir el objeto del contrato sin haber transformado, mediante la mano de obra, los materiales utilizados en la construcción. Por la misma razón, se determinó una base gravable excesiva e injusta.</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En este asunto no existió un contrato de prestación de servicios porque, como quedó demostrado, los contratos celebrados por el actor señalan expresamente que la labor desarrollada corresponde a la materialización de una obra.</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Los activos enajenados por el contribuyente corresponden a la obra de construcción que se llevó a cabo de acuerdo con cada contrato. A su vez, son el resultado de la transformación de los materiales mediante la mano de obra.</w:t>
      </w:r>
    </w:p>
    <w:p w:rsidR="00D2718B" w:rsidRPr="00D2718B" w:rsidRDefault="00D2718B" w:rsidP="00D2718B">
      <w:pPr>
        <w:spacing w:after="0" w:line="240" w:lineRule="auto"/>
        <w:jc w:val="center"/>
        <w:rPr>
          <w:rFonts w:ascii="Arial" w:eastAsia="Times New Roman" w:hAnsi="Arial" w:cs="Arial"/>
          <w:color w:val="000000"/>
          <w:sz w:val="18"/>
          <w:szCs w:val="18"/>
          <w:lang w:eastAsia="es-CO"/>
        </w:rPr>
      </w:pPr>
      <w:r w:rsidRPr="00D2718B">
        <w:rPr>
          <w:rFonts w:ascii="Segoe UI" w:eastAsia="Times New Roman" w:hAnsi="Segoe UI" w:cs="Segoe UI"/>
          <w:b/>
          <w:bCs/>
          <w:color w:val="000000"/>
          <w:sz w:val="18"/>
          <w:szCs w:val="18"/>
          <w:lang w:eastAsia="es-CO"/>
        </w:rPr>
        <w:t> </w:t>
      </w:r>
    </w:p>
    <w:p w:rsidR="00D2718B" w:rsidRPr="00D2718B" w:rsidRDefault="00D2718B" w:rsidP="00D2718B">
      <w:pPr>
        <w:spacing w:after="0" w:line="240" w:lineRule="auto"/>
        <w:jc w:val="center"/>
        <w:rPr>
          <w:rFonts w:ascii="Arial" w:eastAsia="Times New Roman" w:hAnsi="Arial" w:cs="Arial"/>
          <w:color w:val="000000"/>
          <w:sz w:val="18"/>
          <w:szCs w:val="18"/>
          <w:lang w:eastAsia="es-CO"/>
        </w:rPr>
      </w:pPr>
      <w:r w:rsidRPr="00D2718B">
        <w:rPr>
          <w:rFonts w:ascii="Segoe UI" w:eastAsia="Times New Roman" w:hAnsi="Segoe UI" w:cs="Segoe UI"/>
          <w:b/>
          <w:bCs/>
          <w:color w:val="000000"/>
          <w:sz w:val="18"/>
          <w:szCs w:val="18"/>
          <w:lang w:eastAsia="es-CO"/>
        </w:rPr>
        <w:t>ALEGATOS DE CONCLUSIÓN</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La </w:t>
      </w:r>
      <w:r w:rsidRPr="00D2718B">
        <w:rPr>
          <w:rFonts w:ascii="Segoe UI" w:eastAsia="Times New Roman" w:hAnsi="Segoe UI" w:cs="Segoe UI"/>
          <w:b/>
          <w:bCs/>
          <w:color w:val="000000"/>
          <w:sz w:val="18"/>
          <w:szCs w:val="18"/>
          <w:lang w:eastAsia="es-CO"/>
        </w:rPr>
        <w:t>demandante </w:t>
      </w:r>
      <w:r w:rsidRPr="00D2718B">
        <w:rPr>
          <w:rFonts w:ascii="Segoe UI" w:eastAsia="Times New Roman" w:hAnsi="Segoe UI" w:cs="Segoe UI"/>
          <w:color w:val="000000"/>
          <w:sz w:val="18"/>
          <w:szCs w:val="18"/>
          <w:lang w:eastAsia="es-CO"/>
        </w:rPr>
        <w:t>reiteró los argumentos del recurso de apelación y agregó lo siguiente:</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Deben reconocerse costos por $49.694.635, pues en la liquidación oficial de revisión se rechazaron los costos por la falta de inscripción de los proveedores en el RUT como responsables del régimen simplificado. No obstante, este requisito solo se incumplió respecto de $469.687.842, no en relación con todos los costos declarados ($519.382.477).</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Con fundamento en el </w:t>
      </w:r>
      <w:hyperlink r:id="rId25" w:tooltip="Estatuto Tributario CETA" w:history="1">
        <w:r w:rsidRPr="00D2718B">
          <w:rPr>
            <w:rFonts w:ascii="Segoe UI" w:eastAsia="Times New Roman" w:hAnsi="Segoe UI" w:cs="Segoe UI"/>
            <w:color w:val="0089E1"/>
            <w:sz w:val="18"/>
            <w:szCs w:val="18"/>
            <w:lang w:eastAsia="es-CO"/>
          </w:rPr>
          <w:t>artículo 82</w:t>
        </w:r>
      </w:hyperlink>
      <w:r w:rsidRPr="00D2718B">
        <w:rPr>
          <w:rFonts w:ascii="Segoe UI" w:eastAsia="Times New Roman" w:hAnsi="Segoe UI" w:cs="Segoe UI"/>
          <w:color w:val="000000"/>
          <w:sz w:val="18"/>
          <w:szCs w:val="18"/>
          <w:lang w:eastAsia="es-CO"/>
        </w:rPr>
        <w:t> del E.T, deben aplicarse los costos estimados porque el hecho de que los proveedores no estuvieran inscritos en el RUT fue valorado por la DIAN como un indicio de que los costos no eran reales.</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La </w:t>
      </w:r>
      <w:r w:rsidRPr="00D2718B">
        <w:rPr>
          <w:rFonts w:ascii="Segoe UI" w:eastAsia="Times New Roman" w:hAnsi="Segoe UI" w:cs="Segoe UI"/>
          <w:b/>
          <w:bCs/>
          <w:color w:val="000000"/>
          <w:sz w:val="18"/>
          <w:szCs w:val="18"/>
          <w:lang w:eastAsia="es-CO"/>
        </w:rPr>
        <w:t>DIAN </w:t>
      </w:r>
      <w:r w:rsidRPr="00D2718B">
        <w:rPr>
          <w:rFonts w:ascii="Segoe UI" w:eastAsia="Times New Roman" w:hAnsi="Segoe UI" w:cs="Segoe UI"/>
          <w:color w:val="000000"/>
          <w:sz w:val="18"/>
          <w:szCs w:val="18"/>
          <w:lang w:eastAsia="es-CO"/>
        </w:rPr>
        <w:t>alegó de conclusión en los siguientes términos:</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lastRenderedPageBreak/>
        <w:t>No se puede aplicar al </w:t>
      </w:r>
      <w:hyperlink r:id="rId26" w:tooltip="Estatuto Tributario CETA" w:history="1">
        <w:r w:rsidRPr="00D2718B">
          <w:rPr>
            <w:rFonts w:ascii="Segoe UI" w:eastAsia="Times New Roman" w:hAnsi="Segoe UI" w:cs="Segoe UI"/>
            <w:color w:val="0089E1"/>
            <w:sz w:val="18"/>
            <w:szCs w:val="18"/>
            <w:lang w:eastAsia="es-CO"/>
          </w:rPr>
          <w:t>artículo 82</w:t>
        </w:r>
      </w:hyperlink>
      <w:r w:rsidRPr="00D2718B">
        <w:rPr>
          <w:rFonts w:ascii="Segoe UI" w:eastAsia="Times New Roman" w:hAnsi="Segoe UI" w:cs="Segoe UI"/>
          <w:color w:val="000000"/>
          <w:sz w:val="18"/>
          <w:szCs w:val="18"/>
          <w:lang w:eastAsia="es-CO"/>
        </w:rPr>
        <w:t> del E.T. porque la prestación de servicios no encaja en la hipótesis de esta norma, puesto que, para la procedencia de los costos estimados se requiere la enajenación de activos cuyos costos no se puedan determinar mediante pruebas directas.</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xml:space="preserve">La sentencia citada en el fallo apelado no es un precedente jurisprudencial ni una extensión de jurisprudencia, pero sí un referente sobre la obligatoriedad de cumplir los requisitos </w:t>
      </w:r>
      <w:proofErr w:type="spellStart"/>
      <w:r w:rsidRPr="00D2718B">
        <w:rPr>
          <w:rFonts w:ascii="Segoe UI" w:eastAsia="Times New Roman" w:hAnsi="Segoe UI" w:cs="Segoe UI"/>
          <w:color w:val="000000"/>
          <w:sz w:val="18"/>
          <w:szCs w:val="18"/>
          <w:lang w:eastAsia="es-CO"/>
        </w:rPr>
        <w:t>del</w:t>
      </w:r>
      <w:hyperlink r:id="rId27" w:tooltip="Estatuto Tributario CETA" w:history="1">
        <w:r w:rsidRPr="00D2718B">
          <w:rPr>
            <w:rFonts w:ascii="Segoe UI" w:eastAsia="Times New Roman" w:hAnsi="Segoe UI" w:cs="Segoe UI"/>
            <w:color w:val="0089E1"/>
            <w:sz w:val="18"/>
            <w:szCs w:val="18"/>
            <w:lang w:eastAsia="es-CO"/>
          </w:rPr>
          <w:t>artículo</w:t>
        </w:r>
        <w:proofErr w:type="spellEnd"/>
        <w:r w:rsidRPr="00D2718B">
          <w:rPr>
            <w:rFonts w:ascii="Segoe UI" w:eastAsia="Times New Roman" w:hAnsi="Segoe UI" w:cs="Segoe UI"/>
            <w:color w:val="0089E1"/>
            <w:sz w:val="18"/>
            <w:szCs w:val="18"/>
            <w:lang w:eastAsia="es-CO"/>
          </w:rPr>
          <w:t xml:space="preserve"> 82</w:t>
        </w:r>
      </w:hyperlink>
      <w:r w:rsidRPr="00D2718B">
        <w:rPr>
          <w:rFonts w:ascii="Segoe UI" w:eastAsia="Times New Roman" w:hAnsi="Segoe UI" w:cs="Segoe UI"/>
          <w:color w:val="000000"/>
          <w:sz w:val="18"/>
          <w:szCs w:val="18"/>
          <w:lang w:eastAsia="es-CO"/>
        </w:rPr>
        <w:t> del E.T., a efectos de calcular los costos estimados, lo que no sucede en este caso, en especial, cuando la actividad desarrollada no es la enajenación de activos y el rechazo de los costos corresponde a la consecuencia jurídica fijada en el </w:t>
      </w:r>
      <w:hyperlink r:id="rId28" w:tooltip="Estatuto Tributario CETA" w:history="1">
        <w:r w:rsidRPr="00D2718B">
          <w:rPr>
            <w:rFonts w:ascii="Segoe UI" w:eastAsia="Times New Roman" w:hAnsi="Segoe UI" w:cs="Segoe UI"/>
            <w:color w:val="0089E1"/>
            <w:sz w:val="18"/>
            <w:szCs w:val="18"/>
            <w:lang w:eastAsia="es-CO"/>
          </w:rPr>
          <w:t>artículo 177-2</w:t>
        </w:r>
      </w:hyperlink>
      <w:r w:rsidRPr="00D2718B">
        <w:rPr>
          <w:rFonts w:ascii="Segoe UI" w:eastAsia="Times New Roman" w:hAnsi="Segoe UI" w:cs="Segoe UI"/>
          <w:color w:val="000000"/>
          <w:sz w:val="18"/>
          <w:szCs w:val="18"/>
          <w:lang w:eastAsia="es-CO"/>
        </w:rPr>
        <w:t> del mismo ordenamiento.</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En efecto, dentro de los requisitos para la aplicación del </w:t>
      </w:r>
      <w:hyperlink r:id="rId29" w:tooltip="Estatuto Tributario CETA" w:history="1">
        <w:r w:rsidRPr="00D2718B">
          <w:rPr>
            <w:rFonts w:ascii="Segoe UI" w:eastAsia="Times New Roman" w:hAnsi="Segoe UI" w:cs="Segoe UI"/>
            <w:color w:val="0089E1"/>
            <w:sz w:val="18"/>
            <w:szCs w:val="18"/>
            <w:lang w:eastAsia="es-CO"/>
          </w:rPr>
          <w:t>artículo 82</w:t>
        </w:r>
      </w:hyperlink>
      <w:r w:rsidRPr="00D2718B">
        <w:rPr>
          <w:rFonts w:ascii="Segoe UI" w:eastAsia="Times New Roman" w:hAnsi="Segoe UI" w:cs="Segoe UI"/>
          <w:color w:val="000000"/>
          <w:sz w:val="18"/>
          <w:szCs w:val="18"/>
          <w:lang w:eastAsia="es-CO"/>
        </w:rPr>
        <w:t> del E.T no se encuentra que los costos hayan sido rechazados como consecuencia de una disposición jurídica, como en este caso. Además, la norma en mención se halla en el capítulo que trata sobre la determinación de los costos de los activos y no de la prestación de servicios.</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Si bien el actor alega la aplicación del principio de prevalencia de la sustancia sobre la forma, en el sentido de señalar que no se pueden considerar inexistentes los costos por falta de requisitos formales, dado que sí se incurrió en ellos, debe considerarse que es deber del contribuyente atender las formalidades, so pena de que no le sean reconocidos los costos o que se impongan las sanciones tributarias y administrativas dispuestas en la ley</w:t>
      </w:r>
      <w:bookmarkStart w:id="14" w:name="_ftnref15"/>
      <w:r w:rsidRPr="00D2718B">
        <w:rPr>
          <w:rFonts w:ascii="Segoe UI" w:eastAsia="Times New Roman" w:hAnsi="Segoe UI" w:cs="Segoe UI"/>
          <w:color w:val="000000"/>
          <w:sz w:val="18"/>
          <w:szCs w:val="18"/>
          <w:lang w:eastAsia="es-CO"/>
        </w:rPr>
        <w:fldChar w:fldCharType="begin"/>
      </w:r>
      <w:r w:rsidRPr="00D2718B">
        <w:rPr>
          <w:rFonts w:ascii="Segoe UI" w:eastAsia="Times New Roman" w:hAnsi="Segoe UI" w:cs="Segoe UI"/>
          <w:color w:val="000000"/>
          <w:sz w:val="18"/>
          <w:szCs w:val="18"/>
          <w:lang w:eastAsia="es-CO"/>
        </w:rPr>
        <w:instrText xml:space="preserve"> HYPERLINK "http://www.ceta.org.co/html/vista_de_un_documento.asp?DocumentoID=28851" \l "_ftn15" \o "" </w:instrText>
      </w:r>
      <w:r w:rsidRPr="00D2718B">
        <w:rPr>
          <w:rFonts w:ascii="Segoe UI" w:eastAsia="Times New Roman" w:hAnsi="Segoe UI" w:cs="Segoe UI"/>
          <w:color w:val="000000"/>
          <w:sz w:val="18"/>
          <w:szCs w:val="18"/>
          <w:lang w:eastAsia="es-CO"/>
        </w:rPr>
        <w:fldChar w:fldCharType="separate"/>
      </w:r>
      <w:r w:rsidRPr="00D2718B">
        <w:rPr>
          <w:rFonts w:ascii="Segoe UI" w:eastAsia="Times New Roman" w:hAnsi="Segoe UI" w:cs="Segoe UI"/>
          <w:color w:val="0089E1"/>
          <w:sz w:val="22"/>
          <w:lang w:eastAsia="es-CO"/>
        </w:rPr>
        <w:t>[15]</w:t>
      </w:r>
      <w:r w:rsidRPr="00D2718B">
        <w:rPr>
          <w:rFonts w:ascii="Segoe UI" w:eastAsia="Times New Roman" w:hAnsi="Segoe UI" w:cs="Segoe UI"/>
          <w:color w:val="000000"/>
          <w:sz w:val="18"/>
          <w:szCs w:val="18"/>
          <w:lang w:eastAsia="es-CO"/>
        </w:rPr>
        <w:fldChar w:fldCharType="end"/>
      </w:r>
      <w:bookmarkEnd w:id="14"/>
      <w:r w:rsidRPr="00D2718B">
        <w:rPr>
          <w:rFonts w:ascii="Segoe UI" w:eastAsia="Times New Roman" w:hAnsi="Segoe UI" w:cs="Segoe UI"/>
          <w:color w:val="000000"/>
          <w:sz w:val="18"/>
          <w:szCs w:val="18"/>
          <w:lang w:eastAsia="es-CO"/>
        </w:rPr>
        <w:t>.</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El </w:t>
      </w:r>
      <w:r w:rsidRPr="00D2718B">
        <w:rPr>
          <w:rFonts w:ascii="Segoe UI" w:eastAsia="Times New Roman" w:hAnsi="Segoe UI" w:cs="Segoe UI"/>
          <w:b/>
          <w:bCs/>
          <w:color w:val="000000"/>
          <w:sz w:val="18"/>
          <w:szCs w:val="18"/>
          <w:lang w:eastAsia="es-CO"/>
        </w:rPr>
        <w:t>Ministerio Público </w:t>
      </w:r>
      <w:r w:rsidRPr="00D2718B">
        <w:rPr>
          <w:rFonts w:ascii="Segoe UI" w:eastAsia="Times New Roman" w:hAnsi="Segoe UI" w:cs="Segoe UI"/>
          <w:color w:val="000000"/>
          <w:sz w:val="18"/>
          <w:szCs w:val="18"/>
          <w:lang w:eastAsia="es-CO"/>
        </w:rPr>
        <w:t>solicitó confirmar el fallo apelado por las siguientes razones:</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El a quo no se refirió a si la sanción por inexactitud fue excesiva o no, ya que dicho problema jurídico no hizo parte de la fijación del litigio y este no es el momento para que el demandante pretenda alegar algo que no dejó plasmado en la audiencia.</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No se cumple el requisito de la venta de activos fijos para la aplicación del </w:t>
      </w:r>
      <w:hyperlink r:id="rId30" w:tooltip="Estatuto Tributario CETA" w:history="1">
        <w:r w:rsidRPr="00D2718B">
          <w:rPr>
            <w:rFonts w:ascii="Segoe UI" w:eastAsia="Times New Roman" w:hAnsi="Segoe UI" w:cs="Segoe UI"/>
            <w:color w:val="0089E1"/>
            <w:sz w:val="18"/>
            <w:szCs w:val="18"/>
            <w:lang w:eastAsia="es-CO"/>
          </w:rPr>
          <w:t>artículo 82</w:t>
        </w:r>
      </w:hyperlink>
      <w:r w:rsidRPr="00D2718B">
        <w:rPr>
          <w:rFonts w:ascii="Segoe UI" w:eastAsia="Times New Roman" w:hAnsi="Segoe UI" w:cs="Segoe UI"/>
          <w:color w:val="000000"/>
          <w:sz w:val="18"/>
          <w:szCs w:val="18"/>
          <w:lang w:eastAsia="es-CO"/>
        </w:rPr>
        <w:t> del E.T. dado que el actor se dedica a la prestación de servicios de construcción de bien inmueble, de conformidad con los artículos 1º y 3º del Decreto 1372 de 1992. En consecuencia, no es posible extender los efectos de dicha norma, de acuerdo con la sentencia de 4 de marzo de 2010 del Consejo de Estado</w:t>
      </w:r>
      <w:bookmarkStart w:id="15" w:name="_ftnref16"/>
      <w:r w:rsidRPr="00D2718B">
        <w:rPr>
          <w:rFonts w:ascii="Segoe UI" w:eastAsia="Times New Roman" w:hAnsi="Segoe UI" w:cs="Segoe UI"/>
          <w:color w:val="000000"/>
          <w:sz w:val="18"/>
          <w:szCs w:val="18"/>
          <w:lang w:eastAsia="es-CO"/>
        </w:rPr>
        <w:fldChar w:fldCharType="begin"/>
      </w:r>
      <w:r w:rsidRPr="00D2718B">
        <w:rPr>
          <w:rFonts w:ascii="Segoe UI" w:eastAsia="Times New Roman" w:hAnsi="Segoe UI" w:cs="Segoe UI"/>
          <w:color w:val="000000"/>
          <w:sz w:val="18"/>
          <w:szCs w:val="18"/>
          <w:lang w:eastAsia="es-CO"/>
        </w:rPr>
        <w:instrText xml:space="preserve"> HYPERLINK "http://www.ceta.org.co/html/vista_de_un_documento.asp?DocumentoID=28851" \l "_ftn16" \o "" </w:instrText>
      </w:r>
      <w:r w:rsidRPr="00D2718B">
        <w:rPr>
          <w:rFonts w:ascii="Segoe UI" w:eastAsia="Times New Roman" w:hAnsi="Segoe UI" w:cs="Segoe UI"/>
          <w:color w:val="000000"/>
          <w:sz w:val="18"/>
          <w:szCs w:val="18"/>
          <w:lang w:eastAsia="es-CO"/>
        </w:rPr>
        <w:fldChar w:fldCharType="separate"/>
      </w:r>
      <w:r w:rsidRPr="00D2718B">
        <w:rPr>
          <w:rFonts w:ascii="Segoe UI" w:eastAsia="Times New Roman" w:hAnsi="Segoe UI" w:cs="Segoe UI"/>
          <w:color w:val="0089E1"/>
          <w:sz w:val="22"/>
          <w:lang w:eastAsia="es-CO"/>
        </w:rPr>
        <w:t>[16]</w:t>
      </w:r>
      <w:r w:rsidRPr="00D2718B">
        <w:rPr>
          <w:rFonts w:ascii="Segoe UI" w:eastAsia="Times New Roman" w:hAnsi="Segoe UI" w:cs="Segoe UI"/>
          <w:color w:val="000000"/>
          <w:sz w:val="18"/>
          <w:szCs w:val="18"/>
          <w:lang w:eastAsia="es-CO"/>
        </w:rPr>
        <w:fldChar w:fldCharType="end"/>
      </w:r>
      <w:bookmarkEnd w:id="15"/>
      <w:r w:rsidRPr="00D2718B">
        <w:rPr>
          <w:rFonts w:ascii="Segoe UI" w:eastAsia="Times New Roman" w:hAnsi="Segoe UI" w:cs="Segoe UI"/>
          <w:color w:val="000000"/>
          <w:sz w:val="18"/>
          <w:szCs w:val="18"/>
          <w:lang w:eastAsia="es-CO"/>
        </w:rPr>
        <w:t>.</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Tampoco es aplicable el </w:t>
      </w:r>
      <w:hyperlink r:id="rId31" w:tooltip="Estatuto Tributario CETA" w:history="1">
        <w:r w:rsidRPr="00D2718B">
          <w:rPr>
            <w:rFonts w:ascii="Segoe UI" w:eastAsia="Times New Roman" w:hAnsi="Segoe UI" w:cs="Segoe UI"/>
            <w:color w:val="0089E1"/>
            <w:sz w:val="18"/>
            <w:szCs w:val="18"/>
            <w:lang w:eastAsia="es-CO"/>
          </w:rPr>
          <w:t>artículo 82</w:t>
        </w:r>
      </w:hyperlink>
      <w:r w:rsidRPr="00D2718B">
        <w:rPr>
          <w:rFonts w:ascii="Segoe UI" w:eastAsia="Times New Roman" w:hAnsi="Segoe UI" w:cs="Segoe UI"/>
          <w:color w:val="000000"/>
          <w:sz w:val="18"/>
          <w:szCs w:val="18"/>
          <w:lang w:eastAsia="es-CO"/>
        </w:rPr>
        <w:t> del E.T., porque la DIAN no cuestionó la realidad de los costos asociados a la realización de los contratos de obra, sino la falta de requisitos formales para su procedencia</w:t>
      </w:r>
      <w:bookmarkStart w:id="16" w:name="_ftnref17"/>
      <w:r w:rsidRPr="00D2718B">
        <w:rPr>
          <w:rFonts w:ascii="Segoe UI" w:eastAsia="Times New Roman" w:hAnsi="Segoe UI" w:cs="Segoe UI"/>
          <w:color w:val="000000"/>
          <w:sz w:val="18"/>
          <w:szCs w:val="18"/>
          <w:lang w:eastAsia="es-CO"/>
        </w:rPr>
        <w:fldChar w:fldCharType="begin"/>
      </w:r>
      <w:r w:rsidRPr="00D2718B">
        <w:rPr>
          <w:rFonts w:ascii="Segoe UI" w:eastAsia="Times New Roman" w:hAnsi="Segoe UI" w:cs="Segoe UI"/>
          <w:color w:val="000000"/>
          <w:sz w:val="18"/>
          <w:szCs w:val="18"/>
          <w:lang w:eastAsia="es-CO"/>
        </w:rPr>
        <w:instrText xml:space="preserve"> HYPERLINK "http://www.ceta.org.co/html/vista_de_un_documento.asp?DocumentoID=28851" \l "_ftn17" \o "" </w:instrText>
      </w:r>
      <w:r w:rsidRPr="00D2718B">
        <w:rPr>
          <w:rFonts w:ascii="Segoe UI" w:eastAsia="Times New Roman" w:hAnsi="Segoe UI" w:cs="Segoe UI"/>
          <w:color w:val="000000"/>
          <w:sz w:val="18"/>
          <w:szCs w:val="18"/>
          <w:lang w:eastAsia="es-CO"/>
        </w:rPr>
        <w:fldChar w:fldCharType="separate"/>
      </w:r>
      <w:r w:rsidRPr="00D2718B">
        <w:rPr>
          <w:rFonts w:ascii="Segoe UI" w:eastAsia="Times New Roman" w:hAnsi="Segoe UI" w:cs="Segoe UI"/>
          <w:color w:val="0089E1"/>
          <w:sz w:val="22"/>
          <w:lang w:eastAsia="es-CO"/>
        </w:rPr>
        <w:t>[17]</w:t>
      </w:r>
      <w:r w:rsidRPr="00D2718B">
        <w:rPr>
          <w:rFonts w:ascii="Segoe UI" w:eastAsia="Times New Roman" w:hAnsi="Segoe UI" w:cs="Segoe UI"/>
          <w:color w:val="000000"/>
          <w:sz w:val="18"/>
          <w:szCs w:val="18"/>
          <w:lang w:eastAsia="es-CO"/>
        </w:rPr>
        <w:fldChar w:fldCharType="end"/>
      </w:r>
      <w:bookmarkEnd w:id="16"/>
      <w:r w:rsidRPr="00D2718B">
        <w:rPr>
          <w:rFonts w:ascii="Segoe UI" w:eastAsia="Times New Roman" w:hAnsi="Segoe UI" w:cs="Segoe UI"/>
          <w:color w:val="000000"/>
          <w:sz w:val="18"/>
          <w:szCs w:val="18"/>
          <w:lang w:eastAsia="es-CO"/>
        </w:rPr>
        <w:t>.</w:t>
      </w:r>
    </w:p>
    <w:p w:rsidR="00D2718B" w:rsidRPr="00D2718B" w:rsidRDefault="00D2718B" w:rsidP="00D2718B">
      <w:pPr>
        <w:spacing w:after="0" w:line="240" w:lineRule="auto"/>
        <w:jc w:val="center"/>
        <w:rPr>
          <w:rFonts w:ascii="Arial" w:eastAsia="Times New Roman" w:hAnsi="Arial" w:cs="Arial"/>
          <w:color w:val="000000"/>
          <w:sz w:val="18"/>
          <w:szCs w:val="18"/>
          <w:lang w:eastAsia="es-CO"/>
        </w:rPr>
      </w:pPr>
      <w:r w:rsidRPr="00D2718B">
        <w:rPr>
          <w:rFonts w:ascii="Segoe UI" w:eastAsia="Times New Roman" w:hAnsi="Segoe UI" w:cs="Segoe UI"/>
          <w:b/>
          <w:bCs/>
          <w:color w:val="000000"/>
          <w:sz w:val="18"/>
          <w:szCs w:val="18"/>
          <w:lang w:eastAsia="es-CO"/>
        </w:rPr>
        <w:t> </w:t>
      </w:r>
    </w:p>
    <w:p w:rsidR="00D2718B" w:rsidRPr="00D2718B" w:rsidRDefault="00D2718B" w:rsidP="00D2718B">
      <w:pPr>
        <w:spacing w:after="0" w:line="240" w:lineRule="auto"/>
        <w:jc w:val="center"/>
        <w:rPr>
          <w:rFonts w:ascii="Arial" w:eastAsia="Times New Roman" w:hAnsi="Arial" w:cs="Arial"/>
          <w:color w:val="000000"/>
          <w:sz w:val="18"/>
          <w:szCs w:val="18"/>
          <w:lang w:eastAsia="es-CO"/>
        </w:rPr>
      </w:pPr>
      <w:r w:rsidRPr="00D2718B">
        <w:rPr>
          <w:rFonts w:ascii="Segoe UI" w:eastAsia="Times New Roman" w:hAnsi="Segoe UI" w:cs="Segoe UI"/>
          <w:b/>
          <w:bCs/>
          <w:color w:val="000000"/>
          <w:sz w:val="18"/>
          <w:szCs w:val="18"/>
          <w:lang w:eastAsia="es-CO"/>
        </w:rPr>
        <w:t>CONSIDERACIONES DE LA SALA</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En los términos del recurso de apelación, la Sala determina si el actor tenía derecho a que la DIAN reconociera en su declaración de renta del año gravable 2007, los costos estimados a que se refiere el </w:t>
      </w:r>
      <w:hyperlink r:id="rId32" w:tooltip="Estatuto Tributario CETA" w:history="1">
        <w:r w:rsidRPr="00D2718B">
          <w:rPr>
            <w:rFonts w:ascii="Segoe UI" w:eastAsia="Times New Roman" w:hAnsi="Segoe UI" w:cs="Segoe UI"/>
            <w:color w:val="0089E1"/>
            <w:sz w:val="18"/>
            <w:szCs w:val="18"/>
            <w:lang w:eastAsia="es-CO"/>
          </w:rPr>
          <w:t>artículo 82</w:t>
        </w:r>
      </w:hyperlink>
      <w:r w:rsidRPr="00D2718B">
        <w:rPr>
          <w:rFonts w:ascii="Segoe UI" w:eastAsia="Times New Roman" w:hAnsi="Segoe UI" w:cs="Segoe UI"/>
          <w:color w:val="000000"/>
          <w:sz w:val="18"/>
          <w:szCs w:val="18"/>
          <w:lang w:eastAsia="es-CO"/>
        </w:rPr>
        <w:t> inciso 3 del E.T.</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El </w:t>
      </w:r>
      <w:hyperlink r:id="rId33" w:tooltip="Estatuto Tributario CETA" w:history="1">
        <w:r w:rsidRPr="00D2718B">
          <w:rPr>
            <w:rFonts w:ascii="Segoe UI" w:eastAsia="Times New Roman" w:hAnsi="Segoe UI" w:cs="Segoe UI"/>
            <w:color w:val="0089E1"/>
            <w:sz w:val="18"/>
            <w:szCs w:val="18"/>
            <w:lang w:eastAsia="es-CO"/>
          </w:rPr>
          <w:t>artículo 82</w:t>
        </w:r>
      </w:hyperlink>
      <w:r w:rsidRPr="00D2718B">
        <w:rPr>
          <w:rFonts w:ascii="Segoe UI" w:eastAsia="Times New Roman" w:hAnsi="Segoe UI" w:cs="Segoe UI"/>
          <w:color w:val="000000"/>
          <w:sz w:val="18"/>
          <w:szCs w:val="18"/>
          <w:lang w:eastAsia="es-CO"/>
        </w:rPr>
        <w:t> del Estatuto Tributario hace parte de las normas comunes al </w:t>
      </w:r>
      <w:r w:rsidRPr="00D2718B">
        <w:rPr>
          <w:rFonts w:ascii="Segoe UI" w:eastAsia="Times New Roman" w:hAnsi="Segoe UI" w:cs="Segoe UI"/>
          <w:b/>
          <w:bCs/>
          <w:color w:val="000000"/>
          <w:sz w:val="18"/>
          <w:szCs w:val="18"/>
          <w:lang w:eastAsia="es-CO"/>
        </w:rPr>
        <w:t>costo de activos fijos y movibles, </w:t>
      </w:r>
      <w:r w:rsidRPr="00D2718B">
        <w:rPr>
          <w:rFonts w:ascii="Segoe UI" w:eastAsia="Times New Roman" w:hAnsi="Segoe UI" w:cs="Segoe UI"/>
          <w:color w:val="000000"/>
          <w:sz w:val="18"/>
          <w:szCs w:val="18"/>
          <w:lang w:eastAsia="es-CO"/>
        </w:rPr>
        <w:t>del capítulo 2- Costos del Libro I del Estatuto Tributario, que corresponde al impuesto sobre la renta y complementarios. La referida norma dispone lo siguiente:</w:t>
      </w:r>
    </w:p>
    <w:p w:rsidR="00D2718B" w:rsidRPr="00D2718B" w:rsidRDefault="00D2718B" w:rsidP="00D2718B">
      <w:pPr>
        <w:spacing w:after="0" w:line="240" w:lineRule="auto"/>
        <w:ind w:left="284"/>
        <w:jc w:val="both"/>
        <w:rPr>
          <w:rFonts w:ascii="Arial" w:eastAsia="Times New Roman" w:hAnsi="Arial" w:cs="Arial"/>
          <w:color w:val="000000"/>
          <w:sz w:val="18"/>
          <w:szCs w:val="18"/>
          <w:lang w:eastAsia="es-CO"/>
        </w:rPr>
      </w:pPr>
      <w:r w:rsidRPr="00D2718B">
        <w:rPr>
          <w:rFonts w:ascii="Segoe UI" w:eastAsia="Times New Roman" w:hAnsi="Segoe UI" w:cs="Segoe UI"/>
          <w:b/>
          <w:bCs/>
          <w:i/>
          <w:iCs/>
          <w:color w:val="000000"/>
          <w:sz w:val="18"/>
          <w:szCs w:val="18"/>
          <w:lang w:eastAsia="es-CO"/>
        </w:rPr>
        <w:t> </w:t>
      </w:r>
    </w:p>
    <w:p w:rsidR="00D2718B" w:rsidRPr="00D2718B" w:rsidRDefault="00D2718B" w:rsidP="00D2718B">
      <w:pPr>
        <w:spacing w:after="0" w:line="240" w:lineRule="auto"/>
        <w:ind w:left="284"/>
        <w:jc w:val="both"/>
        <w:rPr>
          <w:rFonts w:ascii="Arial" w:eastAsia="Times New Roman" w:hAnsi="Arial" w:cs="Arial"/>
          <w:color w:val="000000"/>
          <w:sz w:val="18"/>
          <w:szCs w:val="18"/>
          <w:lang w:eastAsia="es-CO"/>
        </w:rPr>
      </w:pPr>
      <w:r w:rsidRPr="00D2718B">
        <w:rPr>
          <w:rFonts w:ascii="Segoe UI" w:eastAsia="Times New Roman" w:hAnsi="Segoe UI" w:cs="Segoe UI"/>
          <w:b/>
          <w:bCs/>
          <w:i/>
          <w:iCs/>
          <w:color w:val="000000"/>
          <w:sz w:val="18"/>
          <w:szCs w:val="18"/>
          <w:lang w:eastAsia="es-CO"/>
        </w:rPr>
        <w:t>“</w:t>
      </w:r>
      <w:hyperlink r:id="rId34" w:tooltip="Estatuto Tributario CETA" w:history="1">
        <w:r w:rsidRPr="00D2718B">
          <w:rPr>
            <w:rFonts w:ascii="Segoe UI" w:eastAsia="Times New Roman" w:hAnsi="Segoe UI" w:cs="Segoe UI"/>
            <w:b/>
            <w:bCs/>
            <w:i/>
            <w:iCs/>
            <w:color w:val="0089E1"/>
            <w:sz w:val="18"/>
            <w:szCs w:val="18"/>
            <w:lang w:eastAsia="es-CO"/>
          </w:rPr>
          <w:t>Artículo 82</w:t>
        </w:r>
      </w:hyperlink>
      <w:r w:rsidRPr="00D2718B">
        <w:rPr>
          <w:rFonts w:ascii="Segoe UI" w:eastAsia="Times New Roman" w:hAnsi="Segoe UI" w:cs="Segoe UI"/>
          <w:b/>
          <w:bCs/>
          <w:i/>
          <w:iCs/>
          <w:color w:val="000000"/>
          <w:sz w:val="18"/>
          <w:szCs w:val="18"/>
          <w:lang w:eastAsia="es-CO"/>
        </w:rPr>
        <w:t>. Determinación de costos estimados y presuntos. </w:t>
      </w:r>
      <w:r w:rsidRPr="00D2718B">
        <w:rPr>
          <w:rFonts w:ascii="Segoe UI" w:eastAsia="Times New Roman" w:hAnsi="Segoe UI" w:cs="Segoe UI"/>
          <w:i/>
          <w:iCs/>
          <w:color w:val="000000"/>
          <w:sz w:val="18"/>
          <w:szCs w:val="18"/>
          <w:u w:val="single"/>
          <w:lang w:eastAsia="es-CO"/>
        </w:rPr>
        <w:t>Cuando existan indicios de que el costo informado por el contribuyente no es real o cuando no se conozca el costo de los activos enajenados ni sea posible su determinación mediante pruebas directas, tales como las declaraciones de renta del contribuyente o de terceros, la contabilidad o los comprobantes internos o externos, el funcionario que esté adelantando el proceso de fiscalización respectivo, puede fijar un costo</w:t>
      </w:r>
      <w:r w:rsidRPr="00D2718B">
        <w:rPr>
          <w:rFonts w:ascii="Segoe UI" w:eastAsia="Times New Roman" w:hAnsi="Segoe UI" w:cs="Segoe UI"/>
          <w:i/>
          <w:iCs/>
          <w:color w:val="000000"/>
          <w:sz w:val="18"/>
          <w:szCs w:val="18"/>
          <w:lang w:eastAsia="es-CO"/>
        </w:rPr>
        <w:t> acorde con los incurridos durante el año o período gravable por otras personas que hayan desarrollado la misma actividad del contribuyente, o hayan hecho operaciones similares de enajenación de activos, atendiendo a los datos estadísticos producidos por la Dirección General de Impuestos Nacionales, por el Departamento Administrativo Nacional de Estadística, por el Banco de la República, por la Superintendencia de Industria y Comercio, por la Superintendencia de Sociedades u otras entidades cuyas estadísticas fueren aplicables.</w:t>
      </w:r>
    </w:p>
    <w:p w:rsidR="00D2718B" w:rsidRPr="00D2718B" w:rsidRDefault="00D2718B" w:rsidP="00D2718B">
      <w:pPr>
        <w:spacing w:after="0" w:line="240" w:lineRule="auto"/>
        <w:ind w:left="284"/>
        <w:jc w:val="both"/>
        <w:rPr>
          <w:rFonts w:ascii="Arial" w:eastAsia="Times New Roman" w:hAnsi="Arial" w:cs="Arial"/>
          <w:color w:val="000000"/>
          <w:sz w:val="18"/>
          <w:szCs w:val="18"/>
          <w:lang w:eastAsia="es-CO"/>
        </w:rPr>
      </w:pPr>
      <w:r w:rsidRPr="00D2718B">
        <w:rPr>
          <w:rFonts w:ascii="Segoe UI" w:eastAsia="Times New Roman" w:hAnsi="Segoe UI" w:cs="Segoe UI"/>
          <w:i/>
          <w:iCs/>
          <w:color w:val="000000"/>
          <w:sz w:val="18"/>
          <w:szCs w:val="18"/>
          <w:lang w:eastAsia="es-CO"/>
        </w:rPr>
        <w:t> </w:t>
      </w:r>
    </w:p>
    <w:p w:rsidR="00D2718B" w:rsidRPr="00D2718B" w:rsidRDefault="00D2718B" w:rsidP="00D2718B">
      <w:pPr>
        <w:spacing w:after="0" w:line="240" w:lineRule="auto"/>
        <w:ind w:left="284"/>
        <w:jc w:val="both"/>
        <w:rPr>
          <w:rFonts w:ascii="Arial" w:eastAsia="Times New Roman" w:hAnsi="Arial" w:cs="Arial"/>
          <w:color w:val="000000"/>
          <w:sz w:val="18"/>
          <w:szCs w:val="18"/>
          <w:lang w:eastAsia="es-CO"/>
        </w:rPr>
      </w:pPr>
      <w:r w:rsidRPr="00D2718B">
        <w:rPr>
          <w:rFonts w:ascii="Segoe UI" w:eastAsia="Times New Roman" w:hAnsi="Segoe UI" w:cs="Segoe UI"/>
          <w:i/>
          <w:iCs/>
          <w:color w:val="000000"/>
          <w:sz w:val="18"/>
          <w:szCs w:val="18"/>
          <w:u w:val="single"/>
          <w:lang w:eastAsia="es-CO"/>
        </w:rPr>
        <w:t>Su aplicación y discusión se hará dentro del mismo proceso</w:t>
      </w:r>
      <w:r w:rsidRPr="00D2718B">
        <w:rPr>
          <w:rFonts w:ascii="Segoe UI" w:eastAsia="Times New Roman" w:hAnsi="Segoe UI" w:cs="Segoe UI"/>
          <w:i/>
          <w:iCs/>
          <w:color w:val="000000"/>
          <w:sz w:val="18"/>
          <w:szCs w:val="18"/>
          <w:lang w:eastAsia="es-CO"/>
        </w:rPr>
        <w:t>.</w:t>
      </w:r>
    </w:p>
    <w:p w:rsidR="00D2718B" w:rsidRPr="00D2718B" w:rsidRDefault="00D2718B" w:rsidP="00D2718B">
      <w:pPr>
        <w:spacing w:after="0" w:line="240" w:lineRule="auto"/>
        <w:ind w:left="284"/>
        <w:jc w:val="both"/>
        <w:rPr>
          <w:rFonts w:ascii="Arial" w:eastAsia="Times New Roman" w:hAnsi="Arial" w:cs="Arial"/>
          <w:color w:val="000000"/>
          <w:sz w:val="18"/>
          <w:szCs w:val="18"/>
          <w:lang w:eastAsia="es-CO"/>
        </w:rPr>
      </w:pPr>
      <w:r w:rsidRPr="00D2718B">
        <w:rPr>
          <w:rFonts w:ascii="Segoe UI" w:eastAsia="Times New Roman" w:hAnsi="Segoe UI" w:cs="Segoe UI"/>
          <w:i/>
          <w:iCs/>
          <w:color w:val="000000"/>
          <w:sz w:val="18"/>
          <w:szCs w:val="18"/>
          <w:lang w:eastAsia="es-CO"/>
        </w:rPr>
        <w:t> </w:t>
      </w:r>
    </w:p>
    <w:p w:rsidR="00D2718B" w:rsidRPr="00D2718B" w:rsidRDefault="00D2718B" w:rsidP="00D2718B">
      <w:pPr>
        <w:spacing w:after="0" w:line="240" w:lineRule="auto"/>
        <w:ind w:left="284"/>
        <w:jc w:val="both"/>
        <w:rPr>
          <w:rFonts w:ascii="Arial" w:eastAsia="Times New Roman" w:hAnsi="Arial" w:cs="Arial"/>
          <w:color w:val="000000"/>
          <w:sz w:val="18"/>
          <w:szCs w:val="18"/>
          <w:lang w:eastAsia="es-CO"/>
        </w:rPr>
      </w:pPr>
      <w:r w:rsidRPr="00D2718B">
        <w:rPr>
          <w:rFonts w:ascii="Segoe UI" w:eastAsia="Times New Roman" w:hAnsi="Segoe UI" w:cs="Segoe UI"/>
          <w:i/>
          <w:iCs/>
          <w:color w:val="000000"/>
          <w:sz w:val="18"/>
          <w:szCs w:val="18"/>
          <w:lang w:eastAsia="es-CO"/>
        </w:rPr>
        <w:t>Si lo dispuesto en este artículo no resultare posible, </w:t>
      </w:r>
      <w:r w:rsidRPr="00D2718B">
        <w:rPr>
          <w:rFonts w:ascii="Segoe UI" w:eastAsia="Times New Roman" w:hAnsi="Segoe UI" w:cs="Segoe UI"/>
          <w:i/>
          <w:iCs/>
          <w:color w:val="000000"/>
          <w:sz w:val="18"/>
          <w:szCs w:val="18"/>
          <w:u w:val="single"/>
          <w:lang w:eastAsia="es-CO"/>
        </w:rPr>
        <w:t>se estimará el costo en el setenta y cinco por ciento (75%) del valor de la respectiva enajenación</w:t>
      </w:r>
      <w:r w:rsidRPr="00D2718B">
        <w:rPr>
          <w:rFonts w:ascii="Segoe UI" w:eastAsia="Times New Roman" w:hAnsi="Segoe UI" w:cs="Segoe UI"/>
          <w:i/>
          <w:iCs/>
          <w:color w:val="000000"/>
          <w:sz w:val="18"/>
          <w:szCs w:val="18"/>
          <w:lang w:eastAsia="es-CO"/>
        </w:rPr>
        <w:t>, sin perjuicio de las sanciones que se impongan por inexactitud de la declaración de renta o por no llevar debidamente los libros de contabilidad.” </w:t>
      </w:r>
      <w:r w:rsidRPr="00D2718B">
        <w:rPr>
          <w:rFonts w:ascii="Segoe UI" w:eastAsia="Times New Roman" w:hAnsi="Segoe UI" w:cs="Segoe UI"/>
          <w:color w:val="000000"/>
          <w:sz w:val="18"/>
          <w:szCs w:val="18"/>
          <w:lang w:eastAsia="es-CO"/>
        </w:rPr>
        <w:t>(Subraya fuera del texto original)</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lastRenderedPageBreak/>
        <w:t>Esta norma establece los </w:t>
      </w:r>
      <w:r w:rsidRPr="00D2718B">
        <w:rPr>
          <w:rFonts w:ascii="Segoe UI" w:eastAsia="Times New Roman" w:hAnsi="Segoe UI" w:cs="Segoe UI"/>
          <w:b/>
          <w:bCs/>
          <w:color w:val="000000"/>
          <w:sz w:val="18"/>
          <w:szCs w:val="18"/>
          <w:lang w:eastAsia="es-CO"/>
        </w:rPr>
        <w:t>eventos </w:t>
      </w:r>
      <w:r w:rsidRPr="00D2718B">
        <w:rPr>
          <w:rFonts w:ascii="Segoe UI" w:eastAsia="Times New Roman" w:hAnsi="Segoe UI" w:cs="Segoe UI"/>
          <w:color w:val="000000"/>
          <w:sz w:val="18"/>
          <w:szCs w:val="18"/>
          <w:lang w:eastAsia="es-CO"/>
        </w:rPr>
        <w:t>en que procede </w:t>
      </w:r>
      <w:r w:rsidRPr="00D2718B">
        <w:rPr>
          <w:rFonts w:ascii="Segoe UI" w:eastAsia="Times New Roman" w:hAnsi="Segoe UI" w:cs="Segoe UI"/>
          <w:b/>
          <w:bCs/>
          <w:color w:val="000000"/>
          <w:sz w:val="18"/>
          <w:szCs w:val="18"/>
          <w:lang w:eastAsia="es-CO"/>
        </w:rPr>
        <w:t>la estimación de los costos en la enajenación de activos, </w:t>
      </w:r>
      <w:r w:rsidRPr="00D2718B">
        <w:rPr>
          <w:rFonts w:ascii="Segoe UI" w:eastAsia="Times New Roman" w:hAnsi="Segoe UI" w:cs="Segoe UI"/>
          <w:color w:val="000000"/>
          <w:sz w:val="18"/>
          <w:szCs w:val="18"/>
          <w:lang w:eastAsia="es-CO"/>
        </w:rPr>
        <w:t>los </w:t>
      </w:r>
      <w:r w:rsidRPr="00D2718B">
        <w:rPr>
          <w:rFonts w:ascii="Segoe UI" w:eastAsia="Times New Roman" w:hAnsi="Segoe UI" w:cs="Segoe UI"/>
          <w:b/>
          <w:bCs/>
          <w:color w:val="000000"/>
          <w:sz w:val="18"/>
          <w:szCs w:val="18"/>
          <w:lang w:eastAsia="es-CO"/>
        </w:rPr>
        <w:t>instrumentos </w:t>
      </w:r>
      <w:r w:rsidRPr="00D2718B">
        <w:rPr>
          <w:rFonts w:ascii="Segoe UI" w:eastAsia="Times New Roman" w:hAnsi="Segoe UI" w:cs="Segoe UI"/>
          <w:color w:val="000000"/>
          <w:sz w:val="18"/>
          <w:szCs w:val="18"/>
          <w:lang w:eastAsia="es-CO"/>
        </w:rPr>
        <w:t>con los que cuenta la Administración para determinarlos, así como un </w:t>
      </w:r>
      <w:r w:rsidRPr="00D2718B">
        <w:rPr>
          <w:rFonts w:ascii="Segoe UI" w:eastAsia="Times New Roman" w:hAnsi="Segoe UI" w:cs="Segoe UI"/>
          <w:b/>
          <w:bCs/>
          <w:color w:val="000000"/>
          <w:sz w:val="18"/>
          <w:szCs w:val="18"/>
          <w:lang w:eastAsia="es-CO"/>
        </w:rPr>
        <w:t>cálculo aproximado </w:t>
      </w:r>
      <w:r w:rsidRPr="00D2718B">
        <w:rPr>
          <w:rFonts w:ascii="Segoe UI" w:eastAsia="Times New Roman" w:hAnsi="Segoe UI" w:cs="Segoe UI"/>
          <w:color w:val="000000"/>
          <w:sz w:val="18"/>
          <w:szCs w:val="18"/>
          <w:lang w:eastAsia="es-CO"/>
        </w:rPr>
        <w:t>de estos cuando las herramientas dadas a los funcionarios de fiscalización son insuficientes para determinarlos.</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Así, para aplicar la estimación de costos el funcionario de fiscalización debe encontrarse frente a alguna de las siguientes situaciones:</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Indicios de que el costo de enajenación de activos informado por el contribuyente no es real, o</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No se conoce </w:t>
      </w:r>
      <w:r w:rsidRPr="00D2718B">
        <w:rPr>
          <w:rFonts w:ascii="Segoe UI" w:eastAsia="Times New Roman" w:hAnsi="Segoe UI" w:cs="Segoe UI"/>
          <w:b/>
          <w:bCs/>
          <w:color w:val="000000"/>
          <w:sz w:val="18"/>
          <w:szCs w:val="18"/>
          <w:lang w:eastAsia="es-CO"/>
        </w:rPr>
        <w:t>el costo de los activos enajenados </w:t>
      </w:r>
      <w:r w:rsidRPr="00D2718B">
        <w:rPr>
          <w:rFonts w:ascii="Segoe UI" w:eastAsia="Times New Roman" w:hAnsi="Segoe UI" w:cs="Segoe UI"/>
          <w:color w:val="000000"/>
          <w:sz w:val="18"/>
          <w:szCs w:val="18"/>
          <w:lang w:eastAsia="es-CO"/>
        </w:rPr>
        <w:t>o este no puede determinarse mediante pruebas directas, como las declaraciones de renta del contribuyente o de terceros, la contabilidad o los comprobantes internos o externos.</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Verificado alguno de los eventos anteriores, puede acudirse a </w:t>
      </w:r>
      <w:r w:rsidRPr="00D2718B">
        <w:rPr>
          <w:rFonts w:ascii="Segoe UI" w:eastAsia="Times New Roman" w:hAnsi="Segoe UI" w:cs="Segoe UI"/>
          <w:b/>
          <w:bCs/>
          <w:color w:val="000000"/>
          <w:sz w:val="18"/>
          <w:szCs w:val="18"/>
          <w:lang w:eastAsia="es-CO"/>
        </w:rPr>
        <w:t>los costos de los activos fijos enajenados </w:t>
      </w:r>
      <w:r w:rsidRPr="00D2718B">
        <w:rPr>
          <w:rFonts w:ascii="Segoe UI" w:eastAsia="Times New Roman" w:hAnsi="Segoe UI" w:cs="Segoe UI"/>
          <w:color w:val="000000"/>
          <w:sz w:val="18"/>
          <w:szCs w:val="18"/>
          <w:lang w:eastAsia="es-CO"/>
        </w:rPr>
        <w:t>en que incurrieron personas que han desarrollado la misma actividad del contribuyente, o han realizado operaciones similares de </w:t>
      </w:r>
      <w:r w:rsidRPr="00D2718B">
        <w:rPr>
          <w:rFonts w:ascii="Segoe UI" w:eastAsia="Times New Roman" w:hAnsi="Segoe UI" w:cs="Segoe UI"/>
          <w:b/>
          <w:bCs/>
          <w:color w:val="000000"/>
          <w:sz w:val="18"/>
          <w:szCs w:val="18"/>
          <w:lang w:eastAsia="es-CO"/>
        </w:rPr>
        <w:t>enajenación de activos</w:t>
      </w:r>
      <w:r w:rsidRPr="00D2718B">
        <w:rPr>
          <w:rFonts w:ascii="Segoe UI" w:eastAsia="Times New Roman" w:hAnsi="Segoe UI" w:cs="Segoe UI"/>
          <w:color w:val="000000"/>
          <w:sz w:val="18"/>
          <w:szCs w:val="18"/>
          <w:lang w:eastAsia="es-CO"/>
        </w:rPr>
        <w:t>, atendiendo a datos estadísticos de diferentes entidades.</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Por último, si ninguno de los instrumentos indicados permite determinar el </w:t>
      </w:r>
      <w:r w:rsidRPr="00D2718B">
        <w:rPr>
          <w:rFonts w:ascii="Segoe UI" w:eastAsia="Times New Roman" w:hAnsi="Segoe UI" w:cs="Segoe UI"/>
          <w:b/>
          <w:bCs/>
          <w:color w:val="000000"/>
          <w:sz w:val="18"/>
          <w:szCs w:val="18"/>
          <w:lang w:eastAsia="es-CO"/>
        </w:rPr>
        <w:t>costo de los activos fijos enajenados en que se incurrió</w:t>
      </w:r>
      <w:r w:rsidRPr="00D2718B">
        <w:rPr>
          <w:rFonts w:ascii="Segoe UI" w:eastAsia="Times New Roman" w:hAnsi="Segoe UI" w:cs="Segoe UI"/>
          <w:color w:val="000000"/>
          <w:sz w:val="18"/>
          <w:szCs w:val="18"/>
          <w:lang w:eastAsia="es-CO"/>
        </w:rPr>
        <w:t>, este se estimará en el 75% del valor de la respectiva enajenación.</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En el caso en estudio están probados los siguientes hechos:</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El 1 de julio de 2008, el actor declaró renta por el año gravable 2007. Registró ingresos de $593.758.000, costos de $519.382.000, retenciones de $5.938.000 y un impuesto a cargo de $7.337.000</w:t>
      </w:r>
      <w:bookmarkStart w:id="17" w:name="_ftnref18"/>
      <w:r w:rsidRPr="00D2718B">
        <w:rPr>
          <w:rFonts w:ascii="Segoe UI" w:eastAsia="Times New Roman" w:hAnsi="Segoe UI" w:cs="Segoe UI"/>
          <w:color w:val="000000"/>
          <w:sz w:val="18"/>
          <w:szCs w:val="18"/>
          <w:lang w:eastAsia="es-CO"/>
        </w:rPr>
        <w:fldChar w:fldCharType="begin"/>
      </w:r>
      <w:r w:rsidRPr="00D2718B">
        <w:rPr>
          <w:rFonts w:ascii="Segoe UI" w:eastAsia="Times New Roman" w:hAnsi="Segoe UI" w:cs="Segoe UI"/>
          <w:color w:val="000000"/>
          <w:sz w:val="18"/>
          <w:szCs w:val="18"/>
          <w:lang w:eastAsia="es-CO"/>
        </w:rPr>
        <w:instrText xml:space="preserve"> HYPERLINK "http://www.ceta.org.co/html/vista_de_un_documento.asp?DocumentoID=28851" \l "_ftn18" \o "" </w:instrText>
      </w:r>
      <w:r w:rsidRPr="00D2718B">
        <w:rPr>
          <w:rFonts w:ascii="Segoe UI" w:eastAsia="Times New Roman" w:hAnsi="Segoe UI" w:cs="Segoe UI"/>
          <w:color w:val="000000"/>
          <w:sz w:val="18"/>
          <w:szCs w:val="18"/>
          <w:lang w:eastAsia="es-CO"/>
        </w:rPr>
        <w:fldChar w:fldCharType="separate"/>
      </w:r>
      <w:r w:rsidRPr="00D2718B">
        <w:rPr>
          <w:rFonts w:ascii="Segoe UI" w:eastAsia="Times New Roman" w:hAnsi="Segoe UI" w:cs="Segoe UI"/>
          <w:color w:val="0089E1"/>
          <w:sz w:val="22"/>
          <w:lang w:eastAsia="es-CO"/>
        </w:rPr>
        <w:t>[18]</w:t>
      </w:r>
      <w:r w:rsidRPr="00D2718B">
        <w:rPr>
          <w:rFonts w:ascii="Segoe UI" w:eastAsia="Times New Roman" w:hAnsi="Segoe UI" w:cs="Segoe UI"/>
          <w:color w:val="000000"/>
          <w:sz w:val="18"/>
          <w:szCs w:val="18"/>
          <w:lang w:eastAsia="es-CO"/>
        </w:rPr>
        <w:fldChar w:fldCharType="end"/>
      </w:r>
      <w:bookmarkEnd w:id="17"/>
      <w:r w:rsidRPr="00D2718B">
        <w:rPr>
          <w:rFonts w:ascii="Segoe UI" w:eastAsia="Times New Roman" w:hAnsi="Segoe UI" w:cs="Segoe UI"/>
          <w:color w:val="000000"/>
          <w:sz w:val="18"/>
          <w:szCs w:val="18"/>
          <w:lang w:eastAsia="es-CO"/>
        </w:rPr>
        <w:t>.</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El 26 de enero de 2010, el actor corrigió la declaración para aumentar los ingresos a $602.992.000, sin modificar los costos informados</w:t>
      </w:r>
      <w:bookmarkStart w:id="18" w:name="_ftnref19"/>
      <w:r w:rsidRPr="00D2718B">
        <w:rPr>
          <w:rFonts w:ascii="Segoe UI" w:eastAsia="Times New Roman" w:hAnsi="Segoe UI" w:cs="Segoe UI"/>
          <w:color w:val="000000"/>
          <w:sz w:val="18"/>
          <w:szCs w:val="18"/>
          <w:lang w:eastAsia="es-CO"/>
        </w:rPr>
        <w:fldChar w:fldCharType="begin"/>
      </w:r>
      <w:r w:rsidRPr="00D2718B">
        <w:rPr>
          <w:rFonts w:ascii="Segoe UI" w:eastAsia="Times New Roman" w:hAnsi="Segoe UI" w:cs="Segoe UI"/>
          <w:color w:val="000000"/>
          <w:sz w:val="18"/>
          <w:szCs w:val="18"/>
          <w:lang w:eastAsia="es-CO"/>
        </w:rPr>
        <w:instrText xml:space="preserve"> HYPERLINK "http://www.ceta.org.co/html/vista_de_un_documento.asp?DocumentoID=28851" \l "_ftn19" \o "" </w:instrText>
      </w:r>
      <w:r w:rsidRPr="00D2718B">
        <w:rPr>
          <w:rFonts w:ascii="Segoe UI" w:eastAsia="Times New Roman" w:hAnsi="Segoe UI" w:cs="Segoe UI"/>
          <w:color w:val="000000"/>
          <w:sz w:val="18"/>
          <w:szCs w:val="18"/>
          <w:lang w:eastAsia="es-CO"/>
        </w:rPr>
        <w:fldChar w:fldCharType="separate"/>
      </w:r>
      <w:r w:rsidRPr="00D2718B">
        <w:rPr>
          <w:rFonts w:ascii="Segoe UI" w:eastAsia="Times New Roman" w:hAnsi="Segoe UI" w:cs="Segoe UI"/>
          <w:color w:val="0089E1"/>
          <w:sz w:val="22"/>
          <w:lang w:eastAsia="es-CO"/>
        </w:rPr>
        <w:t>[19]</w:t>
      </w:r>
      <w:r w:rsidRPr="00D2718B">
        <w:rPr>
          <w:rFonts w:ascii="Segoe UI" w:eastAsia="Times New Roman" w:hAnsi="Segoe UI" w:cs="Segoe UI"/>
          <w:color w:val="000000"/>
          <w:sz w:val="18"/>
          <w:szCs w:val="18"/>
          <w:lang w:eastAsia="es-CO"/>
        </w:rPr>
        <w:fldChar w:fldCharType="end"/>
      </w:r>
      <w:bookmarkEnd w:id="18"/>
      <w:r w:rsidRPr="00D2718B">
        <w:rPr>
          <w:rFonts w:ascii="Segoe UI" w:eastAsia="Times New Roman" w:hAnsi="Segoe UI" w:cs="Segoe UI"/>
          <w:color w:val="000000"/>
          <w:sz w:val="18"/>
          <w:szCs w:val="18"/>
          <w:lang w:eastAsia="es-CO"/>
        </w:rPr>
        <w:t>. Asimismo, declaró retenciones de $6.466.000 y una sanción por corrección de $205.000, un impuesto a cargo de $15.860.000 y un total a pagar de $9.599.000.</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Como prueba de los costos, el contribuyente allegó los contratos de obra civil a todo costo suscritos en el año 2007 con PROMOTORA DE INVERSIONES S.A.</w:t>
      </w:r>
      <w:bookmarkStart w:id="19" w:name="_ftnref20"/>
      <w:r w:rsidRPr="00D2718B">
        <w:rPr>
          <w:rFonts w:ascii="Segoe UI" w:eastAsia="Times New Roman" w:hAnsi="Segoe UI" w:cs="Segoe UI"/>
          <w:color w:val="000000"/>
          <w:sz w:val="18"/>
          <w:szCs w:val="18"/>
          <w:lang w:eastAsia="es-CO"/>
        </w:rPr>
        <w:fldChar w:fldCharType="begin"/>
      </w:r>
      <w:r w:rsidRPr="00D2718B">
        <w:rPr>
          <w:rFonts w:ascii="Segoe UI" w:eastAsia="Times New Roman" w:hAnsi="Segoe UI" w:cs="Segoe UI"/>
          <w:color w:val="000000"/>
          <w:sz w:val="18"/>
          <w:szCs w:val="18"/>
          <w:lang w:eastAsia="es-CO"/>
        </w:rPr>
        <w:instrText xml:space="preserve"> HYPERLINK "http://www.ceta.org.co/html/vista_de_un_documento.asp?DocumentoID=28851" \l "_ftn20" \o "" </w:instrText>
      </w:r>
      <w:r w:rsidRPr="00D2718B">
        <w:rPr>
          <w:rFonts w:ascii="Segoe UI" w:eastAsia="Times New Roman" w:hAnsi="Segoe UI" w:cs="Segoe UI"/>
          <w:color w:val="000000"/>
          <w:sz w:val="18"/>
          <w:szCs w:val="18"/>
          <w:lang w:eastAsia="es-CO"/>
        </w:rPr>
        <w:fldChar w:fldCharType="separate"/>
      </w:r>
      <w:r w:rsidRPr="00D2718B">
        <w:rPr>
          <w:rFonts w:ascii="Segoe UI" w:eastAsia="Times New Roman" w:hAnsi="Segoe UI" w:cs="Segoe UI"/>
          <w:color w:val="0089E1"/>
          <w:sz w:val="22"/>
          <w:lang w:eastAsia="es-CO"/>
        </w:rPr>
        <w:t>[20]</w:t>
      </w:r>
      <w:r w:rsidRPr="00D2718B">
        <w:rPr>
          <w:rFonts w:ascii="Segoe UI" w:eastAsia="Times New Roman" w:hAnsi="Segoe UI" w:cs="Segoe UI"/>
          <w:color w:val="000000"/>
          <w:sz w:val="18"/>
          <w:szCs w:val="18"/>
          <w:lang w:eastAsia="es-CO"/>
        </w:rPr>
        <w:fldChar w:fldCharType="end"/>
      </w:r>
      <w:bookmarkEnd w:id="19"/>
      <w:r w:rsidRPr="00D2718B">
        <w:rPr>
          <w:rFonts w:ascii="Segoe UI" w:eastAsia="Times New Roman" w:hAnsi="Segoe UI" w:cs="Segoe UI"/>
          <w:color w:val="000000"/>
          <w:sz w:val="18"/>
          <w:szCs w:val="18"/>
          <w:lang w:eastAsia="es-CO"/>
        </w:rPr>
        <w:t>, PARQUES RESIDENCIALES BOGOTÁ S.A.</w:t>
      </w:r>
      <w:bookmarkStart w:id="20" w:name="_ftnref21"/>
      <w:r w:rsidRPr="00D2718B">
        <w:rPr>
          <w:rFonts w:ascii="Segoe UI" w:eastAsia="Times New Roman" w:hAnsi="Segoe UI" w:cs="Segoe UI"/>
          <w:color w:val="000000"/>
          <w:sz w:val="18"/>
          <w:szCs w:val="18"/>
          <w:lang w:eastAsia="es-CO"/>
        </w:rPr>
        <w:fldChar w:fldCharType="begin"/>
      </w:r>
      <w:r w:rsidRPr="00D2718B">
        <w:rPr>
          <w:rFonts w:ascii="Segoe UI" w:eastAsia="Times New Roman" w:hAnsi="Segoe UI" w:cs="Segoe UI"/>
          <w:color w:val="000000"/>
          <w:sz w:val="18"/>
          <w:szCs w:val="18"/>
          <w:lang w:eastAsia="es-CO"/>
        </w:rPr>
        <w:instrText xml:space="preserve"> HYPERLINK "http://www.ceta.org.co/html/vista_de_un_documento.asp?DocumentoID=28851" \l "_ftn21" \o "" </w:instrText>
      </w:r>
      <w:r w:rsidRPr="00D2718B">
        <w:rPr>
          <w:rFonts w:ascii="Segoe UI" w:eastAsia="Times New Roman" w:hAnsi="Segoe UI" w:cs="Segoe UI"/>
          <w:color w:val="000000"/>
          <w:sz w:val="18"/>
          <w:szCs w:val="18"/>
          <w:lang w:eastAsia="es-CO"/>
        </w:rPr>
        <w:fldChar w:fldCharType="separate"/>
      </w:r>
      <w:r w:rsidRPr="00D2718B">
        <w:rPr>
          <w:rFonts w:ascii="Segoe UI" w:eastAsia="Times New Roman" w:hAnsi="Segoe UI" w:cs="Segoe UI"/>
          <w:color w:val="0089E1"/>
          <w:sz w:val="22"/>
          <w:lang w:eastAsia="es-CO"/>
        </w:rPr>
        <w:t>[21]</w:t>
      </w:r>
      <w:r w:rsidRPr="00D2718B">
        <w:rPr>
          <w:rFonts w:ascii="Segoe UI" w:eastAsia="Times New Roman" w:hAnsi="Segoe UI" w:cs="Segoe UI"/>
          <w:color w:val="000000"/>
          <w:sz w:val="18"/>
          <w:szCs w:val="18"/>
          <w:lang w:eastAsia="es-CO"/>
        </w:rPr>
        <w:fldChar w:fldCharType="end"/>
      </w:r>
      <w:bookmarkEnd w:id="20"/>
      <w:r w:rsidRPr="00D2718B">
        <w:rPr>
          <w:rFonts w:ascii="Segoe UI" w:eastAsia="Times New Roman" w:hAnsi="Segoe UI" w:cs="Segoe UI"/>
          <w:color w:val="000000"/>
          <w:sz w:val="18"/>
          <w:szCs w:val="18"/>
          <w:lang w:eastAsia="es-CO"/>
        </w:rPr>
        <w:t>, URBANIZADORA CLUB CAMPESTRE S.A.</w:t>
      </w:r>
      <w:bookmarkStart w:id="21" w:name="_ftnref22"/>
      <w:r w:rsidRPr="00D2718B">
        <w:rPr>
          <w:rFonts w:ascii="Segoe UI" w:eastAsia="Times New Roman" w:hAnsi="Segoe UI" w:cs="Segoe UI"/>
          <w:color w:val="000000"/>
          <w:sz w:val="18"/>
          <w:szCs w:val="18"/>
          <w:lang w:eastAsia="es-CO"/>
        </w:rPr>
        <w:fldChar w:fldCharType="begin"/>
      </w:r>
      <w:r w:rsidRPr="00D2718B">
        <w:rPr>
          <w:rFonts w:ascii="Segoe UI" w:eastAsia="Times New Roman" w:hAnsi="Segoe UI" w:cs="Segoe UI"/>
          <w:color w:val="000000"/>
          <w:sz w:val="18"/>
          <w:szCs w:val="18"/>
          <w:lang w:eastAsia="es-CO"/>
        </w:rPr>
        <w:instrText xml:space="preserve"> HYPERLINK "http://www.ceta.org.co/html/vista_de_un_documento.asp?DocumentoID=28851" \l "_ftn22" \o "" </w:instrText>
      </w:r>
      <w:r w:rsidRPr="00D2718B">
        <w:rPr>
          <w:rFonts w:ascii="Segoe UI" w:eastAsia="Times New Roman" w:hAnsi="Segoe UI" w:cs="Segoe UI"/>
          <w:color w:val="000000"/>
          <w:sz w:val="18"/>
          <w:szCs w:val="18"/>
          <w:lang w:eastAsia="es-CO"/>
        </w:rPr>
        <w:fldChar w:fldCharType="separate"/>
      </w:r>
      <w:r w:rsidRPr="00D2718B">
        <w:rPr>
          <w:rFonts w:ascii="Segoe UI" w:eastAsia="Times New Roman" w:hAnsi="Segoe UI" w:cs="Segoe UI"/>
          <w:color w:val="0089E1"/>
          <w:sz w:val="22"/>
          <w:lang w:eastAsia="es-CO"/>
        </w:rPr>
        <w:t>[22]</w:t>
      </w:r>
      <w:r w:rsidRPr="00D2718B">
        <w:rPr>
          <w:rFonts w:ascii="Segoe UI" w:eastAsia="Times New Roman" w:hAnsi="Segoe UI" w:cs="Segoe UI"/>
          <w:color w:val="000000"/>
          <w:sz w:val="18"/>
          <w:szCs w:val="18"/>
          <w:lang w:eastAsia="es-CO"/>
        </w:rPr>
        <w:fldChar w:fldCharType="end"/>
      </w:r>
      <w:bookmarkEnd w:id="21"/>
      <w:r w:rsidRPr="00D2718B">
        <w:rPr>
          <w:rFonts w:ascii="Segoe UI" w:eastAsia="Times New Roman" w:hAnsi="Segoe UI" w:cs="Segoe UI"/>
          <w:color w:val="000000"/>
          <w:sz w:val="18"/>
          <w:szCs w:val="18"/>
          <w:lang w:eastAsia="es-CO"/>
        </w:rPr>
        <w:t> y ESTUDIOS Y SISTEMAS S.A.</w:t>
      </w:r>
      <w:bookmarkStart w:id="22" w:name="_ftnref23"/>
      <w:r w:rsidRPr="00D2718B">
        <w:rPr>
          <w:rFonts w:ascii="Segoe UI" w:eastAsia="Times New Roman" w:hAnsi="Segoe UI" w:cs="Segoe UI"/>
          <w:color w:val="000000"/>
          <w:sz w:val="18"/>
          <w:szCs w:val="18"/>
          <w:lang w:eastAsia="es-CO"/>
        </w:rPr>
        <w:fldChar w:fldCharType="begin"/>
      </w:r>
      <w:r w:rsidRPr="00D2718B">
        <w:rPr>
          <w:rFonts w:ascii="Segoe UI" w:eastAsia="Times New Roman" w:hAnsi="Segoe UI" w:cs="Segoe UI"/>
          <w:color w:val="000000"/>
          <w:sz w:val="18"/>
          <w:szCs w:val="18"/>
          <w:lang w:eastAsia="es-CO"/>
        </w:rPr>
        <w:instrText xml:space="preserve"> HYPERLINK "http://www.ceta.org.co/html/vista_de_un_documento.asp?DocumentoID=28851" \l "_ftn23" \o "" </w:instrText>
      </w:r>
      <w:r w:rsidRPr="00D2718B">
        <w:rPr>
          <w:rFonts w:ascii="Segoe UI" w:eastAsia="Times New Roman" w:hAnsi="Segoe UI" w:cs="Segoe UI"/>
          <w:color w:val="000000"/>
          <w:sz w:val="18"/>
          <w:szCs w:val="18"/>
          <w:lang w:eastAsia="es-CO"/>
        </w:rPr>
        <w:fldChar w:fldCharType="separate"/>
      </w:r>
      <w:r w:rsidRPr="00D2718B">
        <w:rPr>
          <w:rFonts w:ascii="Segoe UI" w:eastAsia="Times New Roman" w:hAnsi="Segoe UI" w:cs="Segoe UI"/>
          <w:color w:val="0089E1"/>
          <w:sz w:val="22"/>
          <w:lang w:eastAsia="es-CO"/>
        </w:rPr>
        <w:t>[23]</w:t>
      </w:r>
      <w:r w:rsidRPr="00D2718B">
        <w:rPr>
          <w:rFonts w:ascii="Segoe UI" w:eastAsia="Times New Roman" w:hAnsi="Segoe UI" w:cs="Segoe UI"/>
          <w:color w:val="000000"/>
          <w:sz w:val="18"/>
          <w:szCs w:val="18"/>
          <w:lang w:eastAsia="es-CO"/>
        </w:rPr>
        <w:fldChar w:fldCharType="end"/>
      </w:r>
      <w:bookmarkEnd w:id="22"/>
      <w:r w:rsidRPr="00D2718B">
        <w:rPr>
          <w:rFonts w:ascii="Segoe UI" w:eastAsia="Times New Roman" w:hAnsi="Segoe UI" w:cs="Segoe UI"/>
          <w:color w:val="000000"/>
          <w:sz w:val="18"/>
          <w:szCs w:val="18"/>
          <w:lang w:eastAsia="es-CO"/>
        </w:rPr>
        <w:t>, y las facturas que le expidieron las citadas compañías por concepto de contrato de obra civil a todo costo por los proyectos: Santillana</w:t>
      </w:r>
      <w:bookmarkStart w:id="23" w:name="_ftnref24"/>
      <w:r w:rsidRPr="00D2718B">
        <w:rPr>
          <w:rFonts w:ascii="Segoe UI" w:eastAsia="Times New Roman" w:hAnsi="Segoe UI" w:cs="Segoe UI"/>
          <w:color w:val="000000"/>
          <w:sz w:val="18"/>
          <w:szCs w:val="18"/>
          <w:lang w:eastAsia="es-CO"/>
        </w:rPr>
        <w:fldChar w:fldCharType="begin"/>
      </w:r>
      <w:r w:rsidRPr="00D2718B">
        <w:rPr>
          <w:rFonts w:ascii="Segoe UI" w:eastAsia="Times New Roman" w:hAnsi="Segoe UI" w:cs="Segoe UI"/>
          <w:color w:val="000000"/>
          <w:sz w:val="18"/>
          <w:szCs w:val="18"/>
          <w:lang w:eastAsia="es-CO"/>
        </w:rPr>
        <w:instrText xml:space="preserve"> HYPERLINK "http://www.ceta.org.co/html/vista_de_un_documento.asp?DocumentoID=28851" \l "_ftn24" \o "" </w:instrText>
      </w:r>
      <w:r w:rsidRPr="00D2718B">
        <w:rPr>
          <w:rFonts w:ascii="Segoe UI" w:eastAsia="Times New Roman" w:hAnsi="Segoe UI" w:cs="Segoe UI"/>
          <w:color w:val="000000"/>
          <w:sz w:val="18"/>
          <w:szCs w:val="18"/>
          <w:lang w:eastAsia="es-CO"/>
        </w:rPr>
        <w:fldChar w:fldCharType="separate"/>
      </w:r>
      <w:r w:rsidRPr="00D2718B">
        <w:rPr>
          <w:rFonts w:ascii="Segoe UI" w:eastAsia="Times New Roman" w:hAnsi="Segoe UI" w:cs="Segoe UI"/>
          <w:color w:val="0089E1"/>
          <w:sz w:val="22"/>
          <w:lang w:eastAsia="es-CO"/>
        </w:rPr>
        <w:t>[24]</w:t>
      </w:r>
      <w:r w:rsidRPr="00D2718B">
        <w:rPr>
          <w:rFonts w:ascii="Segoe UI" w:eastAsia="Times New Roman" w:hAnsi="Segoe UI" w:cs="Segoe UI"/>
          <w:color w:val="000000"/>
          <w:sz w:val="18"/>
          <w:szCs w:val="18"/>
          <w:lang w:eastAsia="es-CO"/>
        </w:rPr>
        <w:fldChar w:fldCharType="end"/>
      </w:r>
      <w:bookmarkEnd w:id="23"/>
      <w:r w:rsidRPr="00D2718B">
        <w:rPr>
          <w:rFonts w:ascii="Segoe UI" w:eastAsia="Times New Roman" w:hAnsi="Segoe UI" w:cs="Segoe UI"/>
          <w:color w:val="000000"/>
          <w:sz w:val="18"/>
          <w:szCs w:val="18"/>
          <w:lang w:eastAsia="es-CO"/>
        </w:rPr>
        <w:t xml:space="preserve">, </w:t>
      </w:r>
      <w:proofErr w:type="spellStart"/>
      <w:r w:rsidRPr="00D2718B">
        <w:rPr>
          <w:rFonts w:ascii="Segoe UI" w:eastAsia="Times New Roman" w:hAnsi="Segoe UI" w:cs="Segoe UI"/>
          <w:color w:val="000000"/>
          <w:sz w:val="18"/>
          <w:szCs w:val="18"/>
          <w:lang w:eastAsia="es-CO"/>
        </w:rPr>
        <w:t>Cañafístolo</w:t>
      </w:r>
      <w:bookmarkStart w:id="24" w:name="_ftnref25"/>
      <w:proofErr w:type="spellEnd"/>
      <w:r w:rsidRPr="00D2718B">
        <w:rPr>
          <w:rFonts w:ascii="Segoe UI" w:eastAsia="Times New Roman" w:hAnsi="Segoe UI" w:cs="Segoe UI"/>
          <w:color w:val="000000"/>
          <w:sz w:val="18"/>
          <w:szCs w:val="18"/>
          <w:lang w:eastAsia="es-CO"/>
        </w:rPr>
        <w:fldChar w:fldCharType="begin"/>
      </w:r>
      <w:r w:rsidRPr="00D2718B">
        <w:rPr>
          <w:rFonts w:ascii="Segoe UI" w:eastAsia="Times New Roman" w:hAnsi="Segoe UI" w:cs="Segoe UI"/>
          <w:color w:val="000000"/>
          <w:sz w:val="18"/>
          <w:szCs w:val="18"/>
          <w:lang w:eastAsia="es-CO"/>
        </w:rPr>
        <w:instrText xml:space="preserve"> HYPERLINK "http://www.ceta.org.co/html/vista_de_un_documento.asp?DocumentoID=28851" \l "_ftn25" \o "" </w:instrText>
      </w:r>
      <w:r w:rsidRPr="00D2718B">
        <w:rPr>
          <w:rFonts w:ascii="Segoe UI" w:eastAsia="Times New Roman" w:hAnsi="Segoe UI" w:cs="Segoe UI"/>
          <w:color w:val="000000"/>
          <w:sz w:val="18"/>
          <w:szCs w:val="18"/>
          <w:lang w:eastAsia="es-CO"/>
        </w:rPr>
        <w:fldChar w:fldCharType="separate"/>
      </w:r>
      <w:r w:rsidRPr="00D2718B">
        <w:rPr>
          <w:rFonts w:ascii="Segoe UI" w:eastAsia="Times New Roman" w:hAnsi="Segoe UI" w:cs="Segoe UI"/>
          <w:color w:val="0089E1"/>
          <w:sz w:val="22"/>
          <w:lang w:eastAsia="es-CO"/>
        </w:rPr>
        <w:t>[25]</w:t>
      </w:r>
      <w:r w:rsidRPr="00D2718B">
        <w:rPr>
          <w:rFonts w:ascii="Segoe UI" w:eastAsia="Times New Roman" w:hAnsi="Segoe UI" w:cs="Segoe UI"/>
          <w:color w:val="000000"/>
          <w:sz w:val="18"/>
          <w:szCs w:val="18"/>
          <w:lang w:eastAsia="es-CO"/>
        </w:rPr>
        <w:fldChar w:fldCharType="end"/>
      </w:r>
      <w:bookmarkEnd w:id="24"/>
      <w:r w:rsidRPr="00D2718B">
        <w:rPr>
          <w:rFonts w:ascii="Segoe UI" w:eastAsia="Times New Roman" w:hAnsi="Segoe UI" w:cs="Segoe UI"/>
          <w:color w:val="000000"/>
          <w:sz w:val="18"/>
          <w:szCs w:val="18"/>
          <w:lang w:eastAsia="es-CO"/>
        </w:rPr>
        <w:t>, Edificio Plenitud Conjunto A Torre 1</w:t>
      </w:r>
      <w:bookmarkStart w:id="25" w:name="_ftnref26"/>
      <w:r w:rsidRPr="00D2718B">
        <w:rPr>
          <w:rFonts w:ascii="Segoe UI" w:eastAsia="Times New Roman" w:hAnsi="Segoe UI" w:cs="Segoe UI"/>
          <w:color w:val="000000"/>
          <w:sz w:val="18"/>
          <w:szCs w:val="18"/>
          <w:lang w:eastAsia="es-CO"/>
        </w:rPr>
        <w:fldChar w:fldCharType="begin"/>
      </w:r>
      <w:r w:rsidRPr="00D2718B">
        <w:rPr>
          <w:rFonts w:ascii="Segoe UI" w:eastAsia="Times New Roman" w:hAnsi="Segoe UI" w:cs="Segoe UI"/>
          <w:color w:val="000000"/>
          <w:sz w:val="18"/>
          <w:szCs w:val="18"/>
          <w:lang w:eastAsia="es-CO"/>
        </w:rPr>
        <w:instrText xml:space="preserve"> HYPERLINK "http://www.ceta.org.co/html/vista_de_un_documento.asp?DocumentoID=28851" \l "_ftn26" \o "" </w:instrText>
      </w:r>
      <w:r w:rsidRPr="00D2718B">
        <w:rPr>
          <w:rFonts w:ascii="Segoe UI" w:eastAsia="Times New Roman" w:hAnsi="Segoe UI" w:cs="Segoe UI"/>
          <w:color w:val="000000"/>
          <w:sz w:val="18"/>
          <w:szCs w:val="18"/>
          <w:lang w:eastAsia="es-CO"/>
        </w:rPr>
        <w:fldChar w:fldCharType="separate"/>
      </w:r>
      <w:r w:rsidRPr="00D2718B">
        <w:rPr>
          <w:rFonts w:ascii="Segoe UI" w:eastAsia="Times New Roman" w:hAnsi="Segoe UI" w:cs="Segoe UI"/>
          <w:color w:val="0089E1"/>
          <w:sz w:val="22"/>
          <w:lang w:eastAsia="es-CO"/>
        </w:rPr>
        <w:t>[26]</w:t>
      </w:r>
      <w:r w:rsidRPr="00D2718B">
        <w:rPr>
          <w:rFonts w:ascii="Segoe UI" w:eastAsia="Times New Roman" w:hAnsi="Segoe UI" w:cs="Segoe UI"/>
          <w:color w:val="000000"/>
          <w:sz w:val="18"/>
          <w:szCs w:val="18"/>
          <w:lang w:eastAsia="es-CO"/>
        </w:rPr>
        <w:fldChar w:fldCharType="end"/>
      </w:r>
      <w:bookmarkEnd w:id="25"/>
      <w:r w:rsidRPr="00D2718B">
        <w:rPr>
          <w:rFonts w:ascii="Segoe UI" w:eastAsia="Times New Roman" w:hAnsi="Segoe UI" w:cs="Segoe UI"/>
          <w:color w:val="000000"/>
          <w:sz w:val="18"/>
          <w:szCs w:val="18"/>
          <w:lang w:eastAsia="es-CO"/>
        </w:rPr>
        <w:t>, Estación del Este</w:t>
      </w:r>
      <w:bookmarkStart w:id="26" w:name="_ftnref27"/>
      <w:r w:rsidRPr="00D2718B">
        <w:rPr>
          <w:rFonts w:ascii="Segoe UI" w:eastAsia="Times New Roman" w:hAnsi="Segoe UI" w:cs="Segoe UI"/>
          <w:color w:val="000000"/>
          <w:sz w:val="18"/>
          <w:szCs w:val="18"/>
          <w:lang w:eastAsia="es-CO"/>
        </w:rPr>
        <w:fldChar w:fldCharType="begin"/>
      </w:r>
      <w:r w:rsidRPr="00D2718B">
        <w:rPr>
          <w:rFonts w:ascii="Segoe UI" w:eastAsia="Times New Roman" w:hAnsi="Segoe UI" w:cs="Segoe UI"/>
          <w:color w:val="000000"/>
          <w:sz w:val="18"/>
          <w:szCs w:val="18"/>
          <w:lang w:eastAsia="es-CO"/>
        </w:rPr>
        <w:instrText xml:space="preserve"> HYPERLINK "http://www.ceta.org.co/html/vista_de_un_documento.asp?DocumentoID=28851" \l "_ftn27" \o "" </w:instrText>
      </w:r>
      <w:r w:rsidRPr="00D2718B">
        <w:rPr>
          <w:rFonts w:ascii="Segoe UI" w:eastAsia="Times New Roman" w:hAnsi="Segoe UI" w:cs="Segoe UI"/>
          <w:color w:val="000000"/>
          <w:sz w:val="18"/>
          <w:szCs w:val="18"/>
          <w:lang w:eastAsia="es-CO"/>
        </w:rPr>
        <w:fldChar w:fldCharType="separate"/>
      </w:r>
      <w:r w:rsidRPr="00D2718B">
        <w:rPr>
          <w:rFonts w:ascii="Segoe UI" w:eastAsia="Times New Roman" w:hAnsi="Segoe UI" w:cs="Segoe UI"/>
          <w:color w:val="0089E1"/>
          <w:sz w:val="22"/>
          <w:lang w:eastAsia="es-CO"/>
        </w:rPr>
        <w:t>[27]</w:t>
      </w:r>
      <w:r w:rsidRPr="00D2718B">
        <w:rPr>
          <w:rFonts w:ascii="Segoe UI" w:eastAsia="Times New Roman" w:hAnsi="Segoe UI" w:cs="Segoe UI"/>
          <w:color w:val="000000"/>
          <w:sz w:val="18"/>
          <w:szCs w:val="18"/>
          <w:lang w:eastAsia="es-CO"/>
        </w:rPr>
        <w:fldChar w:fldCharType="end"/>
      </w:r>
      <w:bookmarkEnd w:id="26"/>
      <w:r w:rsidRPr="00D2718B">
        <w:rPr>
          <w:rFonts w:ascii="Segoe UI" w:eastAsia="Times New Roman" w:hAnsi="Segoe UI" w:cs="Segoe UI"/>
          <w:color w:val="000000"/>
          <w:sz w:val="18"/>
          <w:szCs w:val="18"/>
          <w:lang w:eastAsia="es-CO"/>
        </w:rPr>
        <w:t>, Urbanización El Bosque</w:t>
      </w:r>
      <w:bookmarkStart w:id="27" w:name="_ftnref28"/>
      <w:r w:rsidRPr="00D2718B">
        <w:rPr>
          <w:rFonts w:ascii="Segoe UI" w:eastAsia="Times New Roman" w:hAnsi="Segoe UI" w:cs="Segoe UI"/>
          <w:color w:val="000000"/>
          <w:sz w:val="18"/>
          <w:szCs w:val="18"/>
          <w:lang w:eastAsia="es-CO"/>
        </w:rPr>
        <w:fldChar w:fldCharType="begin"/>
      </w:r>
      <w:r w:rsidRPr="00D2718B">
        <w:rPr>
          <w:rFonts w:ascii="Segoe UI" w:eastAsia="Times New Roman" w:hAnsi="Segoe UI" w:cs="Segoe UI"/>
          <w:color w:val="000000"/>
          <w:sz w:val="18"/>
          <w:szCs w:val="18"/>
          <w:lang w:eastAsia="es-CO"/>
        </w:rPr>
        <w:instrText xml:space="preserve"> HYPERLINK "http://www.ceta.org.co/html/vista_de_un_documento.asp?DocumentoID=28851" \l "_ftn28" \o "" </w:instrText>
      </w:r>
      <w:r w:rsidRPr="00D2718B">
        <w:rPr>
          <w:rFonts w:ascii="Segoe UI" w:eastAsia="Times New Roman" w:hAnsi="Segoe UI" w:cs="Segoe UI"/>
          <w:color w:val="000000"/>
          <w:sz w:val="18"/>
          <w:szCs w:val="18"/>
          <w:lang w:eastAsia="es-CO"/>
        </w:rPr>
        <w:fldChar w:fldCharType="separate"/>
      </w:r>
      <w:r w:rsidRPr="00D2718B">
        <w:rPr>
          <w:rFonts w:ascii="Segoe UI" w:eastAsia="Times New Roman" w:hAnsi="Segoe UI" w:cs="Segoe UI"/>
          <w:color w:val="0089E1"/>
          <w:sz w:val="22"/>
          <w:lang w:eastAsia="es-CO"/>
        </w:rPr>
        <w:t>[28]</w:t>
      </w:r>
      <w:r w:rsidRPr="00D2718B">
        <w:rPr>
          <w:rFonts w:ascii="Segoe UI" w:eastAsia="Times New Roman" w:hAnsi="Segoe UI" w:cs="Segoe UI"/>
          <w:color w:val="000000"/>
          <w:sz w:val="18"/>
          <w:szCs w:val="18"/>
          <w:lang w:eastAsia="es-CO"/>
        </w:rPr>
        <w:fldChar w:fldCharType="end"/>
      </w:r>
      <w:bookmarkEnd w:id="27"/>
      <w:r w:rsidRPr="00D2718B">
        <w:rPr>
          <w:rFonts w:ascii="Segoe UI" w:eastAsia="Times New Roman" w:hAnsi="Segoe UI" w:cs="Segoe UI"/>
          <w:color w:val="000000"/>
          <w:sz w:val="18"/>
          <w:szCs w:val="18"/>
          <w:lang w:eastAsia="es-CO"/>
        </w:rPr>
        <w:t>, Cerámica Italia S.A.</w:t>
      </w:r>
      <w:bookmarkStart w:id="28" w:name="_ftnref29"/>
      <w:r w:rsidRPr="00D2718B">
        <w:rPr>
          <w:rFonts w:ascii="Segoe UI" w:eastAsia="Times New Roman" w:hAnsi="Segoe UI" w:cs="Segoe UI"/>
          <w:color w:val="000000"/>
          <w:sz w:val="18"/>
          <w:szCs w:val="18"/>
          <w:lang w:eastAsia="es-CO"/>
        </w:rPr>
        <w:fldChar w:fldCharType="begin"/>
      </w:r>
      <w:r w:rsidRPr="00D2718B">
        <w:rPr>
          <w:rFonts w:ascii="Segoe UI" w:eastAsia="Times New Roman" w:hAnsi="Segoe UI" w:cs="Segoe UI"/>
          <w:color w:val="000000"/>
          <w:sz w:val="18"/>
          <w:szCs w:val="18"/>
          <w:lang w:eastAsia="es-CO"/>
        </w:rPr>
        <w:instrText xml:space="preserve"> HYPERLINK "http://www.ceta.org.co/html/vista_de_un_documento.asp?DocumentoID=28851" \l "_ftn29" \o "" </w:instrText>
      </w:r>
      <w:r w:rsidRPr="00D2718B">
        <w:rPr>
          <w:rFonts w:ascii="Segoe UI" w:eastAsia="Times New Roman" w:hAnsi="Segoe UI" w:cs="Segoe UI"/>
          <w:color w:val="000000"/>
          <w:sz w:val="18"/>
          <w:szCs w:val="18"/>
          <w:lang w:eastAsia="es-CO"/>
        </w:rPr>
        <w:fldChar w:fldCharType="separate"/>
      </w:r>
      <w:r w:rsidRPr="00D2718B">
        <w:rPr>
          <w:rFonts w:ascii="Segoe UI" w:eastAsia="Times New Roman" w:hAnsi="Segoe UI" w:cs="Segoe UI"/>
          <w:color w:val="0089E1"/>
          <w:sz w:val="22"/>
          <w:lang w:eastAsia="es-CO"/>
        </w:rPr>
        <w:t>[29]</w:t>
      </w:r>
      <w:r w:rsidRPr="00D2718B">
        <w:rPr>
          <w:rFonts w:ascii="Segoe UI" w:eastAsia="Times New Roman" w:hAnsi="Segoe UI" w:cs="Segoe UI"/>
          <w:color w:val="000000"/>
          <w:sz w:val="18"/>
          <w:szCs w:val="18"/>
          <w:lang w:eastAsia="es-CO"/>
        </w:rPr>
        <w:fldChar w:fldCharType="end"/>
      </w:r>
      <w:bookmarkEnd w:id="28"/>
      <w:r w:rsidRPr="00D2718B">
        <w:rPr>
          <w:rFonts w:ascii="Segoe UI" w:eastAsia="Times New Roman" w:hAnsi="Segoe UI" w:cs="Segoe UI"/>
          <w:color w:val="000000"/>
          <w:sz w:val="18"/>
          <w:szCs w:val="18"/>
          <w:lang w:eastAsia="es-CO"/>
        </w:rPr>
        <w:t>, y El Tesoro</w:t>
      </w:r>
      <w:bookmarkStart w:id="29" w:name="_ftnref30"/>
      <w:r w:rsidRPr="00D2718B">
        <w:rPr>
          <w:rFonts w:ascii="Segoe UI" w:eastAsia="Times New Roman" w:hAnsi="Segoe UI" w:cs="Segoe UI"/>
          <w:color w:val="000000"/>
          <w:sz w:val="18"/>
          <w:szCs w:val="18"/>
          <w:lang w:eastAsia="es-CO"/>
        </w:rPr>
        <w:fldChar w:fldCharType="begin"/>
      </w:r>
      <w:r w:rsidRPr="00D2718B">
        <w:rPr>
          <w:rFonts w:ascii="Segoe UI" w:eastAsia="Times New Roman" w:hAnsi="Segoe UI" w:cs="Segoe UI"/>
          <w:color w:val="000000"/>
          <w:sz w:val="18"/>
          <w:szCs w:val="18"/>
          <w:lang w:eastAsia="es-CO"/>
        </w:rPr>
        <w:instrText xml:space="preserve"> HYPERLINK "http://www.ceta.org.co/html/vista_de_un_documento.asp?DocumentoID=28851" \l "_ftn30" \o "" </w:instrText>
      </w:r>
      <w:r w:rsidRPr="00D2718B">
        <w:rPr>
          <w:rFonts w:ascii="Segoe UI" w:eastAsia="Times New Roman" w:hAnsi="Segoe UI" w:cs="Segoe UI"/>
          <w:color w:val="000000"/>
          <w:sz w:val="18"/>
          <w:szCs w:val="18"/>
          <w:lang w:eastAsia="es-CO"/>
        </w:rPr>
        <w:fldChar w:fldCharType="separate"/>
      </w:r>
      <w:r w:rsidRPr="00D2718B">
        <w:rPr>
          <w:rFonts w:ascii="Segoe UI" w:eastAsia="Times New Roman" w:hAnsi="Segoe UI" w:cs="Segoe UI"/>
          <w:color w:val="0089E1"/>
          <w:sz w:val="22"/>
          <w:lang w:eastAsia="es-CO"/>
        </w:rPr>
        <w:t>[30]</w:t>
      </w:r>
      <w:r w:rsidRPr="00D2718B">
        <w:rPr>
          <w:rFonts w:ascii="Segoe UI" w:eastAsia="Times New Roman" w:hAnsi="Segoe UI" w:cs="Segoe UI"/>
          <w:color w:val="000000"/>
          <w:sz w:val="18"/>
          <w:szCs w:val="18"/>
          <w:lang w:eastAsia="es-CO"/>
        </w:rPr>
        <w:fldChar w:fldCharType="end"/>
      </w:r>
      <w:bookmarkEnd w:id="29"/>
      <w:r w:rsidRPr="00D2718B">
        <w:rPr>
          <w:rFonts w:ascii="Segoe UI" w:eastAsia="Times New Roman" w:hAnsi="Segoe UI" w:cs="Segoe UI"/>
          <w:color w:val="000000"/>
          <w:sz w:val="18"/>
          <w:szCs w:val="18"/>
          <w:lang w:eastAsia="es-CO"/>
        </w:rPr>
        <w:t>. También allegó un listado de las personas naturales que contrató, a su vez, para la ejecución de dichos proyectos</w:t>
      </w:r>
      <w:bookmarkStart w:id="30" w:name="_ftnref31"/>
      <w:r w:rsidRPr="00D2718B">
        <w:rPr>
          <w:rFonts w:ascii="Segoe UI" w:eastAsia="Times New Roman" w:hAnsi="Segoe UI" w:cs="Segoe UI"/>
          <w:color w:val="000000"/>
          <w:sz w:val="18"/>
          <w:szCs w:val="18"/>
          <w:lang w:eastAsia="es-CO"/>
        </w:rPr>
        <w:fldChar w:fldCharType="begin"/>
      </w:r>
      <w:r w:rsidRPr="00D2718B">
        <w:rPr>
          <w:rFonts w:ascii="Segoe UI" w:eastAsia="Times New Roman" w:hAnsi="Segoe UI" w:cs="Segoe UI"/>
          <w:color w:val="000000"/>
          <w:sz w:val="18"/>
          <w:szCs w:val="18"/>
          <w:lang w:eastAsia="es-CO"/>
        </w:rPr>
        <w:instrText xml:space="preserve"> HYPERLINK "http://www.ceta.org.co/html/vista_de_un_documento.asp?DocumentoID=28851" \l "_ftn31" \o "" </w:instrText>
      </w:r>
      <w:r w:rsidRPr="00D2718B">
        <w:rPr>
          <w:rFonts w:ascii="Segoe UI" w:eastAsia="Times New Roman" w:hAnsi="Segoe UI" w:cs="Segoe UI"/>
          <w:color w:val="000000"/>
          <w:sz w:val="18"/>
          <w:szCs w:val="18"/>
          <w:lang w:eastAsia="es-CO"/>
        </w:rPr>
        <w:fldChar w:fldCharType="separate"/>
      </w:r>
      <w:r w:rsidRPr="00D2718B">
        <w:rPr>
          <w:rFonts w:ascii="Segoe UI" w:eastAsia="Times New Roman" w:hAnsi="Segoe UI" w:cs="Segoe UI"/>
          <w:color w:val="0089E1"/>
          <w:sz w:val="22"/>
          <w:lang w:eastAsia="es-CO"/>
        </w:rPr>
        <w:t>[31]</w:t>
      </w:r>
      <w:r w:rsidRPr="00D2718B">
        <w:rPr>
          <w:rFonts w:ascii="Segoe UI" w:eastAsia="Times New Roman" w:hAnsi="Segoe UI" w:cs="Segoe UI"/>
          <w:color w:val="000000"/>
          <w:sz w:val="18"/>
          <w:szCs w:val="18"/>
          <w:lang w:eastAsia="es-CO"/>
        </w:rPr>
        <w:fldChar w:fldCharType="end"/>
      </w:r>
      <w:bookmarkEnd w:id="30"/>
      <w:r w:rsidRPr="00D2718B">
        <w:rPr>
          <w:rFonts w:ascii="Segoe UI" w:eastAsia="Times New Roman" w:hAnsi="Segoe UI" w:cs="Segoe UI"/>
          <w:color w:val="000000"/>
          <w:sz w:val="18"/>
          <w:szCs w:val="18"/>
          <w:lang w:eastAsia="es-CO"/>
        </w:rPr>
        <w:t>.</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xml:space="preserve">En dicho listado aparece la relación de los pagos por $519.382.000, que constituyeron costo por el año gravable 2007, con el nombre y el NIT de las personas naturales beneficiarias de estos, el concepto del pago (oficial de obra, ayudante de obra, </w:t>
      </w:r>
      <w:proofErr w:type="spellStart"/>
      <w:r w:rsidRPr="00D2718B">
        <w:rPr>
          <w:rFonts w:ascii="Segoe UI" w:eastAsia="Times New Roman" w:hAnsi="Segoe UI" w:cs="Segoe UI"/>
          <w:color w:val="000000"/>
          <w:sz w:val="18"/>
          <w:szCs w:val="18"/>
          <w:lang w:eastAsia="es-CO"/>
        </w:rPr>
        <w:t>contramaestro</w:t>
      </w:r>
      <w:proofErr w:type="spellEnd"/>
      <w:r w:rsidRPr="00D2718B">
        <w:rPr>
          <w:rFonts w:ascii="Segoe UI" w:eastAsia="Times New Roman" w:hAnsi="Segoe UI" w:cs="Segoe UI"/>
          <w:color w:val="000000"/>
          <w:sz w:val="18"/>
          <w:szCs w:val="18"/>
          <w:lang w:eastAsia="es-CO"/>
        </w:rPr>
        <w:t xml:space="preserve"> y almacenista) y el valor de las operaciones, que osciló entre $3.224.000 y $11.270.000.</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Los contratos demuestran que el actor se obligó con las contratantes a ejecutar obras civiles respecto de las cuales asumía el valor de los costos, por lo cual no se discute que los costos existieron.</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Sin embargo, tales contratos no demuestran que los pagos realizados por el actor a las personas naturales que contrató, a su vez, para el desarrollo de las obras satisfacían los requisitos legales para ser aceptados como costos, conforme con el </w:t>
      </w:r>
      <w:hyperlink r:id="rId35" w:tooltip="Estatuto Tributario CETA" w:history="1">
        <w:r w:rsidRPr="00D2718B">
          <w:rPr>
            <w:rFonts w:ascii="Segoe UI" w:eastAsia="Times New Roman" w:hAnsi="Segoe UI" w:cs="Segoe UI"/>
            <w:color w:val="0089E1"/>
            <w:sz w:val="18"/>
            <w:szCs w:val="18"/>
            <w:lang w:eastAsia="es-CO"/>
          </w:rPr>
          <w:t>artículo 177-2</w:t>
        </w:r>
      </w:hyperlink>
      <w:r w:rsidRPr="00D2718B">
        <w:rPr>
          <w:rFonts w:ascii="Segoe UI" w:eastAsia="Times New Roman" w:hAnsi="Segoe UI" w:cs="Segoe UI"/>
          <w:color w:val="000000"/>
          <w:sz w:val="18"/>
          <w:szCs w:val="18"/>
          <w:lang w:eastAsia="es-CO"/>
        </w:rPr>
        <w:t> del E.T, esto es, que las personas destinatarias de los pagos estaban inscritas en el RUT como responsables del régimen simplificado</w:t>
      </w:r>
      <w:bookmarkStart w:id="31" w:name="_ftnref32"/>
      <w:r w:rsidRPr="00D2718B">
        <w:rPr>
          <w:rFonts w:ascii="Segoe UI" w:eastAsia="Times New Roman" w:hAnsi="Segoe UI" w:cs="Segoe UI"/>
          <w:color w:val="000000"/>
          <w:sz w:val="18"/>
          <w:szCs w:val="18"/>
          <w:lang w:eastAsia="es-CO"/>
        </w:rPr>
        <w:fldChar w:fldCharType="begin"/>
      </w:r>
      <w:r w:rsidRPr="00D2718B">
        <w:rPr>
          <w:rFonts w:ascii="Segoe UI" w:eastAsia="Times New Roman" w:hAnsi="Segoe UI" w:cs="Segoe UI"/>
          <w:color w:val="000000"/>
          <w:sz w:val="18"/>
          <w:szCs w:val="18"/>
          <w:lang w:eastAsia="es-CO"/>
        </w:rPr>
        <w:instrText xml:space="preserve"> HYPERLINK "http://www.ceta.org.co/html/vista_de_un_documento.asp?DocumentoID=28851" \l "_ftn32" \o "" </w:instrText>
      </w:r>
      <w:r w:rsidRPr="00D2718B">
        <w:rPr>
          <w:rFonts w:ascii="Segoe UI" w:eastAsia="Times New Roman" w:hAnsi="Segoe UI" w:cs="Segoe UI"/>
          <w:color w:val="000000"/>
          <w:sz w:val="18"/>
          <w:szCs w:val="18"/>
          <w:lang w:eastAsia="es-CO"/>
        </w:rPr>
        <w:fldChar w:fldCharType="separate"/>
      </w:r>
      <w:r w:rsidRPr="00D2718B">
        <w:rPr>
          <w:rFonts w:ascii="Segoe UI" w:eastAsia="Times New Roman" w:hAnsi="Segoe UI" w:cs="Segoe UI"/>
          <w:color w:val="0089E1"/>
          <w:sz w:val="22"/>
          <w:lang w:eastAsia="es-CO"/>
        </w:rPr>
        <w:t>[32]</w:t>
      </w:r>
      <w:r w:rsidRPr="00D2718B">
        <w:rPr>
          <w:rFonts w:ascii="Segoe UI" w:eastAsia="Times New Roman" w:hAnsi="Segoe UI" w:cs="Segoe UI"/>
          <w:color w:val="000000"/>
          <w:sz w:val="18"/>
          <w:szCs w:val="18"/>
          <w:lang w:eastAsia="es-CO"/>
        </w:rPr>
        <w:fldChar w:fldCharType="end"/>
      </w:r>
      <w:bookmarkEnd w:id="31"/>
      <w:r w:rsidRPr="00D2718B">
        <w:rPr>
          <w:rFonts w:ascii="Segoe UI" w:eastAsia="Times New Roman" w:hAnsi="Segoe UI" w:cs="Segoe UI"/>
          <w:color w:val="000000"/>
          <w:sz w:val="18"/>
          <w:szCs w:val="18"/>
          <w:lang w:eastAsia="es-CO"/>
        </w:rPr>
        <w:t>. Tampoco demuestran el cumplimiento de los requisitos del artículo 3 del Decreto 3050 de 1997, entre otros, el nombre e identificación de quienes recibieron los pagos, el concepto y valor de estos.</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Por ello, en la liquidación oficial de revisión, la DIAN rechazó todos los costos declarados por el actor ($519.382.000), en los siguientes términos</w:t>
      </w:r>
      <w:bookmarkStart w:id="32" w:name="_ftnref33"/>
      <w:r w:rsidRPr="00D2718B">
        <w:rPr>
          <w:rFonts w:ascii="Segoe UI" w:eastAsia="Times New Roman" w:hAnsi="Segoe UI" w:cs="Segoe UI"/>
          <w:color w:val="000000"/>
          <w:sz w:val="18"/>
          <w:szCs w:val="18"/>
          <w:lang w:eastAsia="es-CO"/>
        </w:rPr>
        <w:fldChar w:fldCharType="begin"/>
      </w:r>
      <w:r w:rsidRPr="00D2718B">
        <w:rPr>
          <w:rFonts w:ascii="Segoe UI" w:eastAsia="Times New Roman" w:hAnsi="Segoe UI" w:cs="Segoe UI"/>
          <w:color w:val="000000"/>
          <w:sz w:val="18"/>
          <w:szCs w:val="18"/>
          <w:lang w:eastAsia="es-CO"/>
        </w:rPr>
        <w:instrText xml:space="preserve"> HYPERLINK "http://www.ceta.org.co/html/vista_de_un_documento.asp?DocumentoID=28851" \l "_ftn33" \o "" </w:instrText>
      </w:r>
      <w:r w:rsidRPr="00D2718B">
        <w:rPr>
          <w:rFonts w:ascii="Segoe UI" w:eastAsia="Times New Roman" w:hAnsi="Segoe UI" w:cs="Segoe UI"/>
          <w:color w:val="000000"/>
          <w:sz w:val="18"/>
          <w:szCs w:val="18"/>
          <w:lang w:eastAsia="es-CO"/>
        </w:rPr>
        <w:fldChar w:fldCharType="separate"/>
      </w:r>
      <w:r w:rsidRPr="00D2718B">
        <w:rPr>
          <w:rFonts w:ascii="Segoe UI" w:eastAsia="Times New Roman" w:hAnsi="Segoe UI" w:cs="Segoe UI"/>
          <w:color w:val="0089E1"/>
          <w:sz w:val="22"/>
          <w:lang w:eastAsia="es-CO"/>
        </w:rPr>
        <w:t>[33]</w:t>
      </w:r>
      <w:r w:rsidRPr="00D2718B">
        <w:rPr>
          <w:rFonts w:ascii="Segoe UI" w:eastAsia="Times New Roman" w:hAnsi="Segoe UI" w:cs="Segoe UI"/>
          <w:color w:val="000000"/>
          <w:sz w:val="18"/>
          <w:szCs w:val="18"/>
          <w:lang w:eastAsia="es-CO"/>
        </w:rPr>
        <w:fldChar w:fldCharType="end"/>
      </w:r>
      <w:bookmarkEnd w:id="32"/>
      <w:r w:rsidRPr="00D2718B">
        <w:rPr>
          <w:rFonts w:ascii="Segoe UI" w:eastAsia="Times New Roman" w:hAnsi="Segoe UI" w:cs="Segoe UI"/>
          <w:color w:val="000000"/>
          <w:sz w:val="18"/>
          <w:szCs w:val="18"/>
          <w:lang w:eastAsia="es-CO"/>
        </w:rPr>
        <w:t>:</w:t>
      </w:r>
    </w:p>
    <w:p w:rsidR="00D2718B" w:rsidRPr="00D2718B" w:rsidRDefault="00D2718B" w:rsidP="00D2718B">
      <w:pPr>
        <w:spacing w:after="0" w:line="240" w:lineRule="auto"/>
        <w:ind w:left="284"/>
        <w:jc w:val="both"/>
        <w:rPr>
          <w:rFonts w:ascii="Arial" w:eastAsia="Times New Roman" w:hAnsi="Arial" w:cs="Arial"/>
          <w:color w:val="000000"/>
          <w:sz w:val="18"/>
          <w:szCs w:val="18"/>
          <w:lang w:eastAsia="es-CO"/>
        </w:rPr>
      </w:pPr>
      <w:r w:rsidRPr="00D2718B">
        <w:rPr>
          <w:rFonts w:ascii="Segoe UI" w:eastAsia="Times New Roman" w:hAnsi="Segoe UI" w:cs="Segoe UI"/>
          <w:i/>
          <w:iCs/>
          <w:color w:val="000000"/>
          <w:sz w:val="18"/>
          <w:szCs w:val="18"/>
          <w:lang w:eastAsia="es-CO"/>
        </w:rPr>
        <w:t> </w:t>
      </w:r>
    </w:p>
    <w:p w:rsidR="00D2718B" w:rsidRPr="00D2718B" w:rsidRDefault="00D2718B" w:rsidP="00D2718B">
      <w:pPr>
        <w:spacing w:after="0" w:line="240" w:lineRule="auto"/>
        <w:ind w:left="284"/>
        <w:jc w:val="both"/>
        <w:rPr>
          <w:rFonts w:ascii="Arial" w:eastAsia="Times New Roman" w:hAnsi="Arial" w:cs="Arial"/>
          <w:color w:val="000000"/>
          <w:sz w:val="18"/>
          <w:szCs w:val="18"/>
          <w:lang w:eastAsia="es-CO"/>
        </w:rPr>
      </w:pPr>
      <w:r w:rsidRPr="00D2718B">
        <w:rPr>
          <w:rFonts w:ascii="Segoe UI" w:eastAsia="Times New Roman" w:hAnsi="Segoe UI" w:cs="Segoe UI"/>
          <w:i/>
          <w:iCs/>
          <w:color w:val="000000"/>
          <w:sz w:val="18"/>
          <w:szCs w:val="18"/>
          <w:lang w:eastAsia="es-CO"/>
        </w:rPr>
        <w:t>“Como mecanismo de control, el </w:t>
      </w:r>
      <w:hyperlink r:id="rId36" w:tooltip="Estatuto Tributario CETA" w:history="1">
        <w:r w:rsidRPr="00D2718B">
          <w:rPr>
            <w:rFonts w:ascii="Segoe UI" w:eastAsia="Times New Roman" w:hAnsi="Segoe UI" w:cs="Segoe UI"/>
            <w:i/>
            <w:iCs/>
            <w:color w:val="0089E1"/>
            <w:sz w:val="18"/>
            <w:szCs w:val="18"/>
            <w:lang w:eastAsia="es-CO"/>
          </w:rPr>
          <w:t>artículo 177-2</w:t>
        </w:r>
      </w:hyperlink>
      <w:r w:rsidRPr="00D2718B">
        <w:rPr>
          <w:rFonts w:ascii="Segoe UI" w:eastAsia="Times New Roman" w:hAnsi="Segoe UI" w:cs="Segoe UI"/>
          <w:i/>
          <w:iCs/>
          <w:color w:val="000000"/>
          <w:sz w:val="18"/>
          <w:szCs w:val="18"/>
          <w:lang w:eastAsia="es-CO"/>
        </w:rPr>
        <w:t> del Estatuto Tributario, dispone que los contribuyentes del impuesto sobre la renta están obligados a exigir a sus proveedores de bienes y de servicios que pertenezcan al régimen simplificado la constancia de su inscripción en dicho régimen, como requisito para la aceptación fiscal de los costos y gastos que corresponden a dichas operaciones:</w:t>
      </w:r>
    </w:p>
    <w:p w:rsidR="00D2718B" w:rsidRPr="00D2718B" w:rsidRDefault="00D2718B" w:rsidP="00D2718B">
      <w:pPr>
        <w:spacing w:after="0" w:line="240" w:lineRule="auto"/>
        <w:ind w:left="284"/>
        <w:jc w:val="both"/>
        <w:rPr>
          <w:rFonts w:ascii="Arial" w:eastAsia="Times New Roman" w:hAnsi="Arial" w:cs="Arial"/>
          <w:color w:val="000000"/>
          <w:sz w:val="18"/>
          <w:szCs w:val="18"/>
          <w:lang w:eastAsia="es-CO"/>
        </w:rPr>
      </w:pPr>
      <w:r w:rsidRPr="00D2718B">
        <w:rPr>
          <w:rFonts w:ascii="Segoe UI" w:eastAsia="Times New Roman" w:hAnsi="Segoe UI" w:cs="Segoe UI"/>
          <w:i/>
          <w:iCs/>
          <w:color w:val="000000"/>
          <w:sz w:val="18"/>
          <w:szCs w:val="18"/>
          <w:lang w:eastAsia="es-CO"/>
        </w:rPr>
        <w:t> </w:t>
      </w:r>
    </w:p>
    <w:p w:rsidR="00D2718B" w:rsidRPr="00D2718B" w:rsidRDefault="00D2718B" w:rsidP="00D2718B">
      <w:pPr>
        <w:spacing w:after="0" w:line="240" w:lineRule="auto"/>
        <w:ind w:left="284"/>
        <w:jc w:val="both"/>
        <w:rPr>
          <w:rFonts w:ascii="Arial" w:eastAsia="Times New Roman" w:hAnsi="Arial" w:cs="Arial"/>
          <w:color w:val="000000"/>
          <w:sz w:val="18"/>
          <w:szCs w:val="18"/>
          <w:lang w:eastAsia="es-CO"/>
        </w:rPr>
      </w:pPr>
      <w:r w:rsidRPr="00D2718B">
        <w:rPr>
          <w:rFonts w:ascii="Segoe UI" w:eastAsia="Times New Roman" w:hAnsi="Segoe UI" w:cs="Segoe UI"/>
          <w:i/>
          <w:iCs/>
          <w:color w:val="000000"/>
          <w:sz w:val="18"/>
          <w:szCs w:val="18"/>
          <w:lang w:eastAsia="es-CO"/>
        </w:rPr>
        <w:lastRenderedPageBreak/>
        <w:t>Lo anterior indica que para efectos de la aceptación de costos y gastos, cuando los pagos son realizados a personas naturales no inscritas en el régimen común, vale decir régimen simplificado, que no conserven copia del documento en el cual conste la inscripción del vendedor o el prestador del servicio en el régimen simplificado, no habrá lugar al reconocimiento de dichos pagos, salvo la excepción dispuesta para las operaciones gravadas realizadas con agricultores, ganaderos y arrendadores pertenecientes al régimen simplificado, siempre que el comprador de los bienes o servicios expida el documento equivalente a la factura a que se refiere el literal f) del </w:t>
      </w:r>
      <w:hyperlink r:id="rId37" w:tooltip="Estatuto Tributario CETA" w:history="1">
        <w:r w:rsidRPr="00D2718B">
          <w:rPr>
            <w:rFonts w:ascii="Segoe UI" w:eastAsia="Times New Roman" w:hAnsi="Segoe UI" w:cs="Segoe UI"/>
            <w:i/>
            <w:iCs/>
            <w:color w:val="0089E1"/>
            <w:sz w:val="18"/>
            <w:szCs w:val="18"/>
            <w:lang w:eastAsia="es-CO"/>
          </w:rPr>
          <w:t>artículo 437</w:t>
        </w:r>
      </w:hyperlink>
      <w:r w:rsidRPr="00D2718B">
        <w:rPr>
          <w:rFonts w:ascii="Segoe UI" w:eastAsia="Times New Roman" w:hAnsi="Segoe UI" w:cs="Segoe UI"/>
          <w:i/>
          <w:iCs/>
          <w:color w:val="000000"/>
          <w:sz w:val="18"/>
          <w:szCs w:val="18"/>
          <w:lang w:eastAsia="es-CO"/>
        </w:rPr>
        <w:t> del E.T.</w:t>
      </w:r>
    </w:p>
    <w:p w:rsidR="00D2718B" w:rsidRPr="00D2718B" w:rsidRDefault="00D2718B" w:rsidP="00D2718B">
      <w:pPr>
        <w:spacing w:after="0" w:line="240" w:lineRule="auto"/>
        <w:ind w:left="284"/>
        <w:jc w:val="both"/>
        <w:rPr>
          <w:rFonts w:ascii="Arial" w:eastAsia="Times New Roman" w:hAnsi="Arial" w:cs="Arial"/>
          <w:color w:val="000000"/>
          <w:sz w:val="18"/>
          <w:szCs w:val="18"/>
          <w:lang w:eastAsia="es-CO"/>
        </w:rPr>
      </w:pPr>
      <w:r w:rsidRPr="00D2718B">
        <w:rPr>
          <w:rFonts w:ascii="Segoe UI" w:eastAsia="Times New Roman" w:hAnsi="Segoe UI" w:cs="Segoe UI"/>
          <w:i/>
          <w:iCs/>
          <w:color w:val="000000"/>
          <w:sz w:val="18"/>
          <w:szCs w:val="18"/>
          <w:lang w:eastAsia="es-CO"/>
        </w:rPr>
        <w:t> </w:t>
      </w:r>
    </w:p>
    <w:p w:rsidR="00D2718B" w:rsidRPr="00D2718B" w:rsidRDefault="00D2718B" w:rsidP="00D2718B">
      <w:pPr>
        <w:spacing w:after="0" w:line="240" w:lineRule="auto"/>
        <w:ind w:left="284"/>
        <w:jc w:val="both"/>
        <w:rPr>
          <w:rFonts w:ascii="Arial" w:eastAsia="Times New Roman" w:hAnsi="Arial" w:cs="Arial"/>
          <w:color w:val="000000"/>
          <w:sz w:val="18"/>
          <w:szCs w:val="18"/>
          <w:lang w:eastAsia="es-CO"/>
        </w:rPr>
      </w:pPr>
      <w:r w:rsidRPr="00D2718B">
        <w:rPr>
          <w:rFonts w:ascii="Segoe UI" w:eastAsia="Times New Roman" w:hAnsi="Segoe UI" w:cs="Segoe UI"/>
          <w:i/>
          <w:iCs/>
          <w:color w:val="000000"/>
          <w:sz w:val="18"/>
          <w:szCs w:val="18"/>
          <w:lang w:eastAsia="es-CO"/>
        </w:rPr>
        <w:t>Se establece entonces que </w:t>
      </w:r>
      <w:r w:rsidRPr="00D2718B">
        <w:rPr>
          <w:rFonts w:ascii="Segoe UI" w:eastAsia="Times New Roman" w:hAnsi="Segoe UI" w:cs="Segoe UI"/>
          <w:b/>
          <w:bCs/>
          <w:i/>
          <w:iCs/>
          <w:color w:val="000000"/>
          <w:sz w:val="18"/>
          <w:szCs w:val="18"/>
          <w:lang w:eastAsia="es-CO"/>
        </w:rPr>
        <w:t>$469.687.842 </w:t>
      </w:r>
      <w:r w:rsidRPr="00D2718B">
        <w:rPr>
          <w:rFonts w:ascii="Segoe UI" w:eastAsia="Times New Roman" w:hAnsi="Segoe UI" w:cs="Segoe UI"/>
          <w:i/>
          <w:iCs/>
          <w:color w:val="000000"/>
          <w:sz w:val="18"/>
          <w:szCs w:val="18"/>
          <w:lang w:eastAsia="es-CO"/>
        </w:rPr>
        <w:t>de costos no cumplen los requisitos del </w:t>
      </w:r>
      <w:hyperlink r:id="rId38" w:tooltip="Estatuto Tributario CETA" w:history="1">
        <w:r w:rsidRPr="00D2718B">
          <w:rPr>
            <w:rFonts w:ascii="Segoe UI" w:eastAsia="Times New Roman" w:hAnsi="Segoe UI" w:cs="Segoe UI"/>
            <w:i/>
            <w:iCs/>
            <w:color w:val="0089E1"/>
            <w:sz w:val="18"/>
            <w:szCs w:val="18"/>
            <w:lang w:eastAsia="es-CO"/>
          </w:rPr>
          <w:t>art. 177-2</w:t>
        </w:r>
      </w:hyperlink>
      <w:r w:rsidRPr="00D2718B">
        <w:rPr>
          <w:rFonts w:ascii="Segoe UI" w:eastAsia="Times New Roman" w:hAnsi="Segoe UI" w:cs="Segoe UI"/>
          <w:i/>
          <w:iCs/>
          <w:color w:val="000000"/>
          <w:sz w:val="18"/>
          <w:szCs w:val="18"/>
          <w:lang w:eastAsia="es-CO"/>
        </w:rPr>
        <w:t> del Estatuto tributario.</w:t>
      </w:r>
    </w:p>
    <w:p w:rsidR="00D2718B" w:rsidRPr="00D2718B" w:rsidRDefault="00D2718B" w:rsidP="00D2718B">
      <w:pPr>
        <w:spacing w:after="0" w:line="240" w:lineRule="auto"/>
        <w:ind w:left="284"/>
        <w:jc w:val="both"/>
        <w:rPr>
          <w:rFonts w:ascii="Arial" w:eastAsia="Times New Roman" w:hAnsi="Arial" w:cs="Arial"/>
          <w:color w:val="000000"/>
          <w:sz w:val="18"/>
          <w:szCs w:val="18"/>
          <w:lang w:eastAsia="es-CO"/>
        </w:rPr>
      </w:pPr>
      <w:r w:rsidRPr="00D2718B">
        <w:rPr>
          <w:rFonts w:ascii="Segoe UI" w:eastAsia="Times New Roman" w:hAnsi="Segoe UI" w:cs="Segoe UI"/>
          <w:i/>
          <w:iCs/>
          <w:color w:val="000000"/>
          <w:sz w:val="18"/>
          <w:szCs w:val="18"/>
          <w:lang w:eastAsia="es-CO"/>
        </w:rPr>
        <w:t> </w:t>
      </w:r>
    </w:p>
    <w:p w:rsidR="00D2718B" w:rsidRPr="00D2718B" w:rsidRDefault="00D2718B" w:rsidP="00D2718B">
      <w:pPr>
        <w:spacing w:after="0" w:line="240" w:lineRule="auto"/>
        <w:ind w:left="284"/>
        <w:jc w:val="both"/>
        <w:rPr>
          <w:rFonts w:ascii="Arial" w:eastAsia="Times New Roman" w:hAnsi="Arial" w:cs="Arial"/>
          <w:color w:val="000000"/>
          <w:sz w:val="18"/>
          <w:szCs w:val="18"/>
          <w:lang w:eastAsia="es-CO"/>
        </w:rPr>
      </w:pPr>
      <w:r w:rsidRPr="00D2718B">
        <w:rPr>
          <w:rFonts w:ascii="Segoe UI" w:eastAsia="Times New Roman" w:hAnsi="Segoe UI" w:cs="Segoe UI"/>
          <w:i/>
          <w:iCs/>
          <w:color w:val="000000"/>
          <w:sz w:val="18"/>
          <w:szCs w:val="18"/>
          <w:lang w:eastAsia="es-CO"/>
        </w:rPr>
        <w:t>Respecto de los </w:t>
      </w:r>
      <w:r w:rsidRPr="00D2718B">
        <w:rPr>
          <w:rFonts w:ascii="Segoe UI" w:eastAsia="Times New Roman" w:hAnsi="Segoe UI" w:cs="Segoe UI"/>
          <w:b/>
          <w:bCs/>
          <w:i/>
          <w:iCs/>
          <w:color w:val="000000"/>
          <w:sz w:val="18"/>
          <w:szCs w:val="18"/>
          <w:lang w:eastAsia="es-CO"/>
        </w:rPr>
        <w:t>$469.687.842</w:t>
      </w:r>
      <w:r w:rsidRPr="00D2718B">
        <w:rPr>
          <w:rFonts w:ascii="Segoe UI" w:eastAsia="Times New Roman" w:hAnsi="Segoe UI" w:cs="Segoe UI"/>
          <w:i/>
          <w:iCs/>
          <w:color w:val="000000"/>
          <w:sz w:val="18"/>
          <w:szCs w:val="18"/>
          <w:lang w:eastAsia="es-CO"/>
        </w:rPr>
        <w:t>, consta en el acta de inspección tributaria: ‘De acuerdo con lo anterior </w:t>
      </w:r>
      <w:r w:rsidRPr="00D2718B">
        <w:rPr>
          <w:rFonts w:ascii="Segoe UI" w:eastAsia="Times New Roman" w:hAnsi="Segoe UI" w:cs="Segoe UI"/>
          <w:i/>
          <w:iCs/>
          <w:color w:val="000000"/>
          <w:sz w:val="18"/>
          <w:szCs w:val="18"/>
          <w:u w:val="single"/>
          <w:lang w:eastAsia="es-CO"/>
        </w:rPr>
        <w:t xml:space="preserve">solo se podría aceptar como costo el valor de $49.694.635 que corresponde a seis (6) que cumplen los requisitos del citado </w:t>
      </w:r>
      <w:proofErr w:type="gramStart"/>
      <w:r w:rsidRPr="00D2718B">
        <w:rPr>
          <w:rFonts w:ascii="Segoe UI" w:eastAsia="Times New Roman" w:hAnsi="Segoe UI" w:cs="Segoe UI"/>
          <w:i/>
          <w:iCs/>
          <w:color w:val="000000"/>
          <w:sz w:val="18"/>
          <w:szCs w:val="18"/>
          <w:u w:val="single"/>
          <w:lang w:eastAsia="es-CO"/>
        </w:rPr>
        <w:t>artículo</w:t>
      </w:r>
      <w:r w:rsidRPr="00D2718B">
        <w:rPr>
          <w:rFonts w:ascii="Segoe UI" w:eastAsia="Times New Roman" w:hAnsi="Segoe UI" w:cs="Segoe UI"/>
          <w:i/>
          <w:iCs/>
          <w:color w:val="000000"/>
          <w:sz w:val="18"/>
          <w:szCs w:val="18"/>
          <w:lang w:eastAsia="es-CO"/>
        </w:rPr>
        <w:t> …’</w:t>
      </w:r>
      <w:proofErr w:type="gramEnd"/>
    </w:p>
    <w:p w:rsidR="00D2718B" w:rsidRPr="00D2718B" w:rsidRDefault="00D2718B" w:rsidP="00D2718B">
      <w:pPr>
        <w:spacing w:after="0" w:line="240" w:lineRule="auto"/>
        <w:ind w:left="284"/>
        <w:jc w:val="both"/>
        <w:rPr>
          <w:rFonts w:ascii="Arial" w:eastAsia="Times New Roman" w:hAnsi="Arial" w:cs="Arial"/>
          <w:color w:val="000000"/>
          <w:sz w:val="18"/>
          <w:szCs w:val="18"/>
          <w:lang w:eastAsia="es-CO"/>
        </w:rPr>
      </w:pPr>
      <w:r w:rsidRPr="00D2718B">
        <w:rPr>
          <w:rFonts w:ascii="Segoe UI" w:eastAsia="Times New Roman" w:hAnsi="Segoe UI" w:cs="Segoe UI"/>
          <w:i/>
          <w:iCs/>
          <w:color w:val="000000"/>
          <w:sz w:val="18"/>
          <w:szCs w:val="18"/>
          <w:lang w:eastAsia="es-CO"/>
        </w:rPr>
        <w:t> </w:t>
      </w:r>
    </w:p>
    <w:p w:rsidR="00D2718B" w:rsidRPr="00D2718B" w:rsidRDefault="00D2718B" w:rsidP="00D2718B">
      <w:pPr>
        <w:spacing w:after="0" w:line="240" w:lineRule="auto"/>
        <w:ind w:left="284"/>
        <w:jc w:val="both"/>
        <w:rPr>
          <w:rFonts w:ascii="Arial" w:eastAsia="Times New Roman" w:hAnsi="Arial" w:cs="Arial"/>
          <w:color w:val="000000"/>
          <w:sz w:val="18"/>
          <w:szCs w:val="18"/>
          <w:lang w:eastAsia="es-CO"/>
        </w:rPr>
      </w:pPr>
      <w:r w:rsidRPr="00D2718B">
        <w:rPr>
          <w:rFonts w:ascii="Segoe UI" w:eastAsia="Times New Roman" w:hAnsi="Segoe UI" w:cs="Segoe UI"/>
          <w:i/>
          <w:iCs/>
          <w:color w:val="000000"/>
          <w:sz w:val="18"/>
          <w:szCs w:val="18"/>
          <w:u w:val="single"/>
          <w:lang w:eastAsia="es-CO"/>
        </w:rPr>
        <w:t xml:space="preserve">Con base en el hallazgo anterior, se trató de ubicar al contribuyente para que aportara los soportes contables, tales como facturas o documentos equivalentes, comprobantes de egreso, etc., pero no fue posible. Me presenté varias veces en la dirección reportada en el RUT y no encontré a </w:t>
      </w:r>
      <w:proofErr w:type="gramStart"/>
      <w:r w:rsidRPr="00D2718B">
        <w:rPr>
          <w:rFonts w:ascii="Segoe UI" w:eastAsia="Times New Roman" w:hAnsi="Segoe UI" w:cs="Segoe UI"/>
          <w:i/>
          <w:iCs/>
          <w:color w:val="000000"/>
          <w:sz w:val="18"/>
          <w:szCs w:val="18"/>
          <w:u w:val="single"/>
          <w:lang w:eastAsia="es-CO"/>
        </w:rPr>
        <w:t>nadie …</w:t>
      </w:r>
      <w:r w:rsidRPr="00D2718B">
        <w:rPr>
          <w:rFonts w:ascii="Segoe UI" w:eastAsia="Times New Roman" w:hAnsi="Segoe UI" w:cs="Segoe UI"/>
          <w:i/>
          <w:iCs/>
          <w:color w:val="000000"/>
          <w:sz w:val="18"/>
          <w:szCs w:val="18"/>
          <w:lang w:eastAsia="es-CO"/>
        </w:rPr>
        <w:t>’</w:t>
      </w:r>
      <w:proofErr w:type="gramEnd"/>
    </w:p>
    <w:p w:rsidR="00D2718B" w:rsidRPr="00D2718B" w:rsidRDefault="00D2718B" w:rsidP="00D2718B">
      <w:pPr>
        <w:spacing w:after="0" w:line="240" w:lineRule="auto"/>
        <w:ind w:left="284"/>
        <w:jc w:val="both"/>
        <w:rPr>
          <w:rFonts w:ascii="Arial" w:eastAsia="Times New Roman" w:hAnsi="Arial" w:cs="Arial"/>
          <w:color w:val="000000"/>
          <w:sz w:val="18"/>
          <w:szCs w:val="18"/>
          <w:lang w:eastAsia="es-CO"/>
        </w:rPr>
      </w:pPr>
      <w:r w:rsidRPr="00D2718B">
        <w:rPr>
          <w:rFonts w:ascii="Segoe UI" w:eastAsia="Times New Roman" w:hAnsi="Segoe UI" w:cs="Segoe UI"/>
          <w:i/>
          <w:iCs/>
          <w:color w:val="000000"/>
          <w:sz w:val="18"/>
          <w:szCs w:val="18"/>
          <w:lang w:eastAsia="es-CO"/>
        </w:rPr>
        <w:t> </w:t>
      </w:r>
    </w:p>
    <w:p w:rsidR="00D2718B" w:rsidRPr="00D2718B" w:rsidRDefault="00D2718B" w:rsidP="00D2718B">
      <w:pPr>
        <w:spacing w:after="0" w:line="240" w:lineRule="auto"/>
        <w:ind w:left="284"/>
        <w:jc w:val="both"/>
        <w:rPr>
          <w:rFonts w:ascii="Arial" w:eastAsia="Times New Roman" w:hAnsi="Arial" w:cs="Arial"/>
          <w:color w:val="000000"/>
          <w:sz w:val="18"/>
          <w:szCs w:val="18"/>
          <w:lang w:eastAsia="es-CO"/>
        </w:rPr>
      </w:pPr>
      <w:r w:rsidRPr="00D2718B">
        <w:rPr>
          <w:rFonts w:ascii="Segoe UI" w:eastAsia="Times New Roman" w:hAnsi="Segoe UI" w:cs="Segoe UI"/>
          <w:i/>
          <w:iCs/>
          <w:color w:val="000000"/>
          <w:sz w:val="18"/>
          <w:szCs w:val="18"/>
          <w:u w:val="single"/>
          <w:lang w:eastAsia="es-CO"/>
        </w:rPr>
        <w:t>Dejando entonces en evidencia por parte del funcionario auditor que no se aportaron los documentos soportes de estos costos</w:t>
      </w:r>
      <w:r w:rsidRPr="00D2718B">
        <w:rPr>
          <w:rFonts w:ascii="Segoe UI" w:eastAsia="Times New Roman" w:hAnsi="Segoe UI" w:cs="Segoe UI"/>
          <w:i/>
          <w:iCs/>
          <w:color w:val="000000"/>
          <w:sz w:val="18"/>
          <w:szCs w:val="18"/>
          <w:lang w:eastAsia="es-CO"/>
        </w:rPr>
        <w:t>.</w:t>
      </w:r>
    </w:p>
    <w:p w:rsidR="00D2718B" w:rsidRPr="00D2718B" w:rsidRDefault="00D2718B" w:rsidP="00D2718B">
      <w:pPr>
        <w:spacing w:after="0" w:line="240" w:lineRule="auto"/>
        <w:ind w:left="284"/>
        <w:jc w:val="both"/>
        <w:rPr>
          <w:rFonts w:ascii="Arial" w:eastAsia="Times New Roman" w:hAnsi="Arial" w:cs="Arial"/>
          <w:color w:val="000000"/>
          <w:sz w:val="18"/>
          <w:szCs w:val="18"/>
          <w:lang w:eastAsia="es-CO"/>
        </w:rPr>
      </w:pPr>
      <w:r w:rsidRPr="00D2718B">
        <w:rPr>
          <w:rFonts w:ascii="Segoe UI" w:eastAsia="Times New Roman" w:hAnsi="Segoe UI" w:cs="Segoe UI"/>
          <w:i/>
          <w:iCs/>
          <w:color w:val="000000"/>
          <w:sz w:val="18"/>
          <w:szCs w:val="18"/>
          <w:lang w:eastAsia="es-CO"/>
        </w:rPr>
        <w:t> </w:t>
      </w:r>
    </w:p>
    <w:p w:rsidR="00D2718B" w:rsidRPr="00D2718B" w:rsidRDefault="00D2718B" w:rsidP="00D2718B">
      <w:pPr>
        <w:spacing w:after="0" w:line="240" w:lineRule="auto"/>
        <w:ind w:left="284"/>
        <w:jc w:val="both"/>
        <w:rPr>
          <w:rFonts w:ascii="Arial" w:eastAsia="Times New Roman" w:hAnsi="Arial" w:cs="Arial"/>
          <w:color w:val="000000"/>
          <w:sz w:val="18"/>
          <w:szCs w:val="18"/>
          <w:lang w:eastAsia="es-CO"/>
        </w:rPr>
      </w:pPr>
      <w:r w:rsidRPr="00D2718B">
        <w:rPr>
          <w:rFonts w:ascii="Segoe UI" w:eastAsia="Times New Roman" w:hAnsi="Segoe UI" w:cs="Segoe UI"/>
          <w:i/>
          <w:iCs/>
          <w:color w:val="000000"/>
          <w:sz w:val="18"/>
          <w:szCs w:val="18"/>
          <w:lang w:eastAsia="es-CO"/>
        </w:rPr>
        <w:t>Por lo expuesto, este despacho confirma el rechazo de los </w:t>
      </w:r>
      <w:r w:rsidRPr="00D2718B">
        <w:rPr>
          <w:rFonts w:ascii="Segoe UI" w:eastAsia="Times New Roman" w:hAnsi="Segoe UI" w:cs="Segoe UI"/>
          <w:b/>
          <w:bCs/>
          <w:i/>
          <w:iCs/>
          <w:color w:val="000000"/>
          <w:sz w:val="18"/>
          <w:szCs w:val="18"/>
          <w:lang w:eastAsia="es-CO"/>
        </w:rPr>
        <w:t>$519.382.000, </w:t>
      </w:r>
      <w:r w:rsidRPr="00D2718B">
        <w:rPr>
          <w:rFonts w:ascii="Segoe UI" w:eastAsia="Times New Roman" w:hAnsi="Segoe UI" w:cs="Segoe UI"/>
          <w:i/>
          <w:iCs/>
          <w:color w:val="000000"/>
          <w:sz w:val="18"/>
          <w:szCs w:val="18"/>
          <w:lang w:eastAsia="es-CO"/>
        </w:rPr>
        <w:t>registrados en la declaración privada del impuesto por concepto de Costos y Deducciones."</w:t>
      </w:r>
      <w:bookmarkStart w:id="33" w:name="_ftnref34"/>
      <w:r w:rsidRPr="00D2718B">
        <w:rPr>
          <w:rFonts w:ascii="Segoe UI" w:eastAsia="Times New Roman" w:hAnsi="Segoe UI" w:cs="Segoe UI"/>
          <w:i/>
          <w:iCs/>
          <w:color w:val="000000"/>
          <w:sz w:val="18"/>
          <w:szCs w:val="18"/>
          <w:lang w:eastAsia="es-CO"/>
        </w:rPr>
        <w:fldChar w:fldCharType="begin"/>
      </w:r>
      <w:r w:rsidRPr="00D2718B">
        <w:rPr>
          <w:rFonts w:ascii="Segoe UI" w:eastAsia="Times New Roman" w:hAnsi="Segoe UI" w:cs="Segoe UI"/>
          <w:i/>
          <w:iCs/>
          <w:color w:val="000000"/>
          <w:sz w:val="18"/>
          <w:szCs w:val="18"/>
          <w:lang w:eastAsia="es-CO"/>
        </w:rPr>
        <w:instrText xml:space="preserve"> HYPERLINK "http://www.ceta.org.co/html/vista_de_un_documento.asp?DocumentoID=28851" \l "_ftn34" \o "" </w:instrText>
      </w:r>
      <w:r w:rsidRPr="00D2718B">
        <w:rPr>
          <w:rFonts w:ascii="Segoe UI" w:eastAsia="Times New Roman" w:hAnsi="Segoe UI" w:cs="Segoe UI"/>
          <w:i/>
          <w:iCs/>
          <w:color w:val="000000"/>
          <w:sz w:val="18"/>
          <w:szCs w:val="18"/>
          <w:lang w:eastAsia="es-CO"/>
        </w:rPr>
        <w:fldChar w:fldCharType="separate"/>
      </w:r>
      <w:r w:rsidRPr="00D2718B">
        <w:rPr>
          <w:rFonts w:ascii="Segoe UI" w:eastAsia="Times New Roman" w:hAnsi="Segoe UI" w:cs="Segoe UI"/>
          <w:b/>
          <w:bCs/>
          <w:i/>
          <w:iCs/>
          <w:color w:val="0089E1"/>
          <w:sz w:val="22"/>
          <w:lang w:eastAsia="es-CO"/>
        </w:rPr>
        <w:t>[34]</w:t>
      </w:r>
      <w:r w:rsidRPr="00D2718B">
        <w:rPr>
          <w:rFonts w:ascii="Segoe UI" w:eastAsia="Times New Roman" w:hAnsi="Segoe UI" w:cs="Segoe UI"/>
          <w:i/>
          <w:iCs/>
          <w:color w:val="000000"/>
          <w:sz w:val="18"/>
          <w:szCs w:val="18"/>
          <w:lang w:eastAsia="es-CO"/>
        </w:rPr>
        <w:fldChar w:fldCharType="end"/>
      </w:r>
      <w:bookmarkEnd w:id="33"/>
      <w:r w:rsidRPr="00D2718B">
        <w:rPr>
          <w:rFonts w:ascii="Segoe UI" w:eastAsia="Times New Roman" w:hAnsi="Segoe UI" w:cs="Segoe UI"/>
          <w:i/>
          <w:iCs/>
          <w:color w:val="000000"/>
          <w:sz w:val="18"/>
          <w:szCs w:val="18"/>
          <w:lang w:eastAsia="es-CO"/>
        </w:rPr>
        <w:t> </w:t>
      </w:r>
      <w:r w:rsidRPr="00D2718B">
        <w:rPr>
          <w:rFonts w:ascii="Segoe UI" w:eastAsia="Times New Roman" w:hAnsi="Segoe UI" w:cs="Segoe UI"/>
          <w:color w:val="000000"/>
          <w:sz w:val="18"/>
          <w:szCs w:val="18"/>
          <w:lang w:eastAsia="es-CO"/>
        </w:rPr>
        <w:t>(Subraya fuera del texto original)</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Así, no existe discusión acerca de que el rechazo de los costos por $469.687.842 se produjo por el incumplimiento del requisito de procedencia y control relacionado con la inscripción en el RUT de los beneficiarios de los pagos como responsables del régimen simplificado de IVA (</w:t>
      </w:r>
      <w:hyperlink r:id="rId39" w:tooltip="Estatuto Tributario CETA" w:history="1">
        <w:r w:rsidRPr="00D2718B">
          <w:rPr>
            <w:rFonts w:ascii="Segoe UI" w:eastAsia="Times New Roman" w:hAnsi="Segoe UI" w:cs="Segoe UI"/>
            <w:color w:val="0089E1"/>
            <w:sz w:val="18"/>
            <w:szCs w:val="18"/>
            <w:lang w:eastAsia="es-CO"/>
          </w:rPr>
          <w:t>artículo 177-2</w:t>
        </w:r>
      </w:hyperlink>
      <w:r w:rsidRPr="00D2718B">
        <w:rPr>
          <w:rFonts w:ascii="Segoe UI" w:eastAsia="Times New Roman" w:hAnsi="Segoe UI" w:cs="Segoe UI"/>
          <w:color w:val="000000"/>
          <w:sz w:val="18"/>
          <w:szCs w:val="18"/>
          <w:lang w:eastAsia="es-CO"/>
        </w:rPr>
        <w:t> del E.T) y el rechazo de los costos por $49.694.635 se suscitó por la ausencia de los soportes de los costos en los términos del artículo 3 del Decreto 3050 de 1997, que, por lo demás, el demandante no allegó ante la DIAN ni en el proceso.</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En el RUT del contribuyente consta que su actividad económica principal es 4530 (construcción de obras de ingeniería civil)</w:t>
      </w:r>
      <w:bookmarkStart w:id="34" w:name="_ftnref35"/>
      <w:r w:rsidRPr="00D2718B">
        <w:rPr>
          <w:rFonts w:ascii="Segoe UI" w:eastAsia="Times New Roman" w:hAnsi="Segoe UI" w:cs="Segoe UI"/>
          <w:color w:val="000000"/>
          <w:sz w:val="18"/>
          <w:szCs w:val="18"/>
          <w:lang w:eastAsia="es-CO"/>
        </w:rPr>
        <w:fldChar w:fldCharType="begin"/>
      </w:r>
      <w:r w:rsidRPr="00D2718B">
        <w:rPr>
          <w:rFonts w:ascii="Segoe UI" w:eastAsia="Times New Roman" w:hAnsi="Segoe UI" w:cs="Segoe UI"/>
          <w:color w:val="000000"/>
          <w:sz w:val="18"/>
          <w:szCs w:val="18"/>
          <w:lang w:eastAsia="es-CO"/>
        </w:rPr>
        <w:instrText xml:space="preserve"> HYPERLINK "http://www.ceta.org.co/html/vista_de_un_documento.asp?DocumentoID=28851" \l "_ftn35" \o "" </w:instrText>
      </w:r>
      <w:r w:rsidRPr="00D2718B">
        <w:rPr>
          <w:rFonts w:ascii="Segoe UI" w:eastAsia="Times New Roman" w:hAnsi="Segoe UI" w:cs="Segoe UI"/>
          <w:color w:val="000000"/>
          <w:sz w:val="18"/>
          <w:szCs w:val="18"/>
          <w:lang w:eastAsia="es-CO"/>
        </w:rPr>
        <w:fldChar w:fldCharType="separate"/>
      </w:r>
      <w:r w:rsidRPr="00D2718B">
        <w:rPr>
          <w:rFonts w:ascii="Segoe UI" w:eastAsia="Times New Roman" w:hAnsi="Segoe UI" w:cs="Segoe UI"/>
          <w:color w:val="0089E1"/>
          <w:sz w:val="22"/>
          <w:lang w:eastAsia="es-CO"/>
        </w:rPr>
        <w:t>[35]</w:t>
      </w:r>
      <w:r w:rsidRPr="00D2718B">
        <w:rPr>
          <w:rFonts w:ascii="Segoe UI" w:eastAsia="Times New Roman" w:hAnsi="Segoe UI" w:cs="Segoe UI"/>
          <w:color w:val="000000"/>
          <w:sz w:val="18"/>
          <w:szCs w:val="18"/>
          <w:lang w:eastAsia="es-CO"/>
        </w:rPr>
        <w:fldChar w:fldCharType="end"/>
      </w:r>
      <w:bookmarkEnd w:id="34"/>
      <w:r w:rsidRPr="00D2718B">
        <w:rPr>
          <w:rFonts w:ascii="Segoe UI" w:eastAsia="Times New Roman" w:hAnsi="Segoe UI" w:cs="Segoe UI"/>
          <w:color w:val="000000"/>
          <w:sz w:val="18"/>
          <w:szCs w:val="18"/>
          <w:lang w:eastAsia="es-CO"/>
        </w:rPr>
        <w:t>.</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En este caso, no procede la estimación de costos que prevé el </w:t>
      </w:r>
      <w:hyperlink r:id="rId40" w:tooltip="Estatuto Tributario CETA" w:history="1">
        <w:r w:rsidRPr="00D2718B">
          <w:rPr>
            <w:rFonts w:ascii="Segoe UI" w:eastAsia="Times New Roman" w:hAnsi="Segoe UI" w:cs="Segoe UI"/>
            <w:color w:val="0089E1"/>
            <w:sz w:val="18"/>
            <w:szCs w:val="18"/>
            <w:lang w:eastAsia="es-CO"/>
          </w:rPr>
          <w:t>artículo 82</w:t>
        </w:r>
      </w:hyperlink>
      <w:r w:rsidRPr="00D2718B">
        <w:rPr>
          <w:rFonts w:ascii="Segoe UI" w:eastAsia="Times New Roman" w:hAnsi="Segoe UI" w:cs="Segoe UI"/>
          <w:color w:val="000000"/>
          <w:sz w:val="18"/>
          <w:szCs w:val="18"/>
          <w:lang w:eastAsia="es-CO"/>
        </w:rPr>
        <w:t> inciso 3 del E.T. debido a que los costos en que incurrió el actor no provienen de la </w:t>
      </w:r>
      <w:r w:rsidRPr="00D2718B">
        <w:rPr>
          <w:rFonts w:ascii="Segoe UI" w:eastAsia="Times New Roman" w:hAnsi="Segoe UI" w:cs="Segoe UI"/>
          <w:b/>
          <w:bCs/>
          <w:color w:val="000000"/>
          <w:sz w:val="18"/>
          <w:szCs w:val="18"/>
          <w:lang w:eastAsia="es-CO"/>
        </w:rPr>
        <w:t xml:space="preserve">enajenación de </w:t>
      </w:r>
      <w:proofErr w:type="spellStart"/>
      <w:r w:rsidRPr="00D2718B">
        <w:rPr>
          <w:rFonts w:ascii="Segoe UI" w:eastAsia="Times New Roman" w:hAnsi="Segoe UI" w:cs="Segoe UI"/>
          <w:b/>
          <w:bCs/>
          <w:color w:val="000000"/>
          <w:sz w:val="18"/>
          <w:szCs w:val="18"/>
          <w:lang w:eastAsia="es-CO"/>
        </w:rPr>
        <w:t>activos</w:t>
      </w:r>
      <w:r w:rsidRPr="00D2718B">
        <w:rPr>
          <w:rFonts w:ascii="Segoe UI" w:eastAsia="Times New Roman" w:hAnsi="Segoe UI" w:cs="Segoe UI"/>
          <w:color w:val="000000"/>
          <w:sz w:val="18"/>
          <w:szCs w:val="18"/>
          <w:lang w:eastAsia="es-CO"/>
        </w:rPr>
        <w:t>sino</w:t>
      </w:r>
      <w:proofErr w:type="spellEnd"/>
      <w:r w:rsidRPr="00D2718B">
        <w:rPr>
          <w:rFonts w:ascii="Segoe UI" w:eastAsia="Times New Roman" w:hAnsi="Segoe UI" w:cs="Segoe UI"/>
          <w:color w:val="000000"/>
          <w:sz w:val="18"/>
          <w:szCs w:val="18"/>
          <w:lang w:eastAsia="es-CO"/>
        </w:rPr>
        <w:t xml:space="preserve"> de la prestación de sus servicios profesionales.</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Si bien el contrato de prestación de servicios profesionales no está definido expresamente en la legislación colombiana, lo que lo hace un negocio atípico e innominado, en los artículos 2063 a 2069 del Código Civil</w:t>
      </w:r>
      <w:bookmarkStart w:id="35" w:name="_ftnref36"/>
      <w:r w:rsidRPr="00D2718B">
        <w:rPr>
          <w:rFonts w:ascii="Segoe UI" w:eastAsia="Times New Roman" w:hAnsi="Segoe UI" w:cs="Segoe UI"/>
          <w:color w:val="000000"/>
          <w:sz w:val="18"/>
          <w:szCs w:val="18"/>
          <w:lang w:eastAsia="es-CO"/>
        </w:rPr>
        <w:fldChar w:fldCharType="begin"/>
      </w:r>
      <w:r w:rsidRPr="00D2718B">
        <w:rPr>
          <w:rFonts w:ascii="Segoe UI" w:eastAsia="Times New Roman" w:hAnsi="Segoe UI" w:cs="Segoe UI"/>
          <w:color w:val="000000"/>
          <w:sz w:val="18"/>
          <w:szCs w:val="18"/>
          <w:lang w:eastAsia="es-CO"/>
        </w:rPr>
        <w:instrText xml:space="preserve"> HYPERLINK "http://www.ceta.org.co/html/vista_de_un_documento.asp?DocumentoID=28851" \l "_ftn36" \o "" </w:instrText>
      </w:r>
      <w:r w:rsidRPr="00D2718B">
        <w:rPr>
          <w:rFonts w:ascii="Segoe UI" w:eastAsia="Times New Roman" w:hAnsi="Segoe UI" w:cs="Segoe UI"/>
          <w:color w:val="000000"/>
          <w:sz w:val="18"/>
          <w:szCs w:val="18"/>
          <w:lang w:eastAsia="es-CO"/>
        </w:rPr>
        <w:fldChar w:fldCharType="separate"/>
      </w:r>
      <w:r w:rsidRPr="00D2718B">
        <w:rPr>
          <w:rFonts w:ascii="Segoe UI" w:eastAsia="Times New Roman" w:hAnsi="Segoe UI" w:cs="Segoe UI"/>
          <w:color w:val="0089E1"/>
          <w:sz w:val="22"/>
          <w:lang w:eastAsia="es-CO"/>
        </w:rPr>
        <w:t>[36]</w:t>
      </w:r>
      <w:r w:rsidRPr="00D2718B">
        <w:rPr>
          <w:rFonts w:ascii="Segoe UI" w:eastAsia="Times New Roman" w:hAnsi="Segoe UI" w:cs="Segoe UI"/>
          <w:color w:val="000000"/>
          <w:sz w:val="18"/>
          <w:szCs w:val="18"/>
          <w:lang w:eastAsia="es-CO"/>
        </w:rPr>
        <w:fldChar w:fldCharType="end"/>
      </w:r>
      <w:bookmarkEnd w:id="35"/>
      <w:r w:rsidRPr="00D2718B">
        <w:rPr>
          <w:rFonts w:ascii="Segoe UI" w:eastAsia="Times New Roman" w:hAnsi="Segoe UI" w:cs="Segoe UI"/>
          <w:color w:val="000000"/>
          <w:sz w:val="18"/>
          <w:szCs w:val="18"/>
          <w:lang w:eastAsia="es-CO"/>
        </w:rPr>
        <w:t> se consagra la figura del arrendamiento de servicios inmateriales, que corresponde a aquella labor o serie de actos que se realizan con predominio del factor intelectual para el servicio de otra persona a cambio de una retribución.</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Por su parte, el artículo 1 del Decreto 1372 de 1992 define así el servicio para efectos del IVA:</w:t>
      </w:r>
    </w:p>
    <w:p w:rsidR="00D2718B" w:rsidRPr="00D2718B" w:rsidRDefault="00D2718B" w:rsidP="00D2718B">
      <w:pPr>
        <w:spacing w:after="0" w:line="240" w:lineRule="auto"/>
        <w:ind w:left="284"/>
        <w:jc w:val="both"/>
        <w:rPr>
          <w:rFonts w:ascii="Arial" w:eastAsia="Times New Roman" w:hAnsi="Arial" w:cs="Arial"/>
          <w:color w:val="000000"/>
          <w:sz w:val="18"/>
          <w:szCs w:val="18"/>
          <w:lang w:eastAsia="es-CO"/>
        </w:rPr>
      </w:pPr>
      <w:r w:rsidRPr="00D2718B">
        <w:rPr>
          <w:rFonts w:ascii="Segoe UI" w:eastAsia="Times New Roman" w:hAnsi="Segoe UI" w:cs="Segoe UI"/>
          <w:b/>
          <w:bCs/>
          <w:i/>
          <w:iCs/>
          <w:color w:val="000000"/>
          <w:sz w:val="18"/>
          <w:szCs w:val="18"/>
          <w:lang w:eastAsia="es-CO"/>
        </w:rPr>
        <w:t> </w:t>
      </w:r>
    </w:p>
    <w:p w:rsidR="00D2718B" w:rsidRPr="00D2718B" w:rsidRDefault="00D2718B" w:rsidP="00D2718B">
      <w:pPr>
        <w:spacing w:after="0" w:line="240" w:lineRule="auto"/>
        <w:ind w:left="284"/>
        <w:jc w:val="both"/>
        <w:rPr>
          <w:rFonts w:ascii="Arial" w:eastAsia="Times New Roman" w:hAnsi="Arial" w:cs="Arial"/>
          <w:color w:val="000000"/>
          <w:sz w:val="18"/>
          <w:szCs w:val="18"/>
          <w:lang w:eastAsia="es-CO"/>
        </w:rPr>
      </w:pPr>
      <w:r w:rsidRPr="00D2718B">
        <w:rPr>
          <w:rFonts w:ascii="Segoe UI" w:eastAsia="Times New Roman" w:hAnsi="Segoe UI" w:cs="Segoe UI"/>
          <w:b/>
          <w:bCs/>
          <w:i/>
          <w:iCs/>
          <w:color w:val="000000"/>
          <w:sz w:val="18"/>
          <w:szCs w:val="18"/>
          <w:lang w:eastAsia="es-CO"/>
        </w:rPr>
        <w:t>“Artículo 1. Definición de servicio para efectos del IVA. </w:t>
      </w:r>
      <w:r w:rsidRPr="00D2718B">
        <w:rPr>
          <w:rFonts w:ascii="Segoe UI" w:eastAsia="Times New Roman" w:hAnsi="Segoe UI" w:cs="Segoe UI"/>
          <w:i/>
          <w:iCs/>
          <w:color w:val="000000"/>
          <w:sz w:val="18"/>
          <w:szCs w:val="18"/>
          <w:lang w:eastAsia="es-CO"/>
        </w:rPr>
        <w:t>Para los efectos del impuesto sobre las ventas se considera servicio toda actividad, labor o trabajo prestado por una persona natural o jurídica, o por una sociedad de hecho, sin relación laboral con quien contrata la ejecución, que se concreta en una obligación de hacer, sin importar que en la misma predomine el factor material o intelectual, y que genera una contraprestación en dinero o en especie, independientemente de su denominación o forma de remuneración.”</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Aunque la norma se refiere a IVA puede aplicarse al impuesto sobre la renta</w:t>
      </w:r>
      <w:bookmarkStart w:id="36" w:name="_ftnref37"/>
      <w:r w:rsidRPr="00D2718B">
        <w:rPr>
          <w:rFonts w:ascii="Segoe UI" w:eastAsia="Times New Roman" w:hAnsi="Segoe UI" w:cs="Segoe UI"/>
          <w:color w:val="000000"/>
          <w:sz w:val="18"/>
          <w:szCs w:val="18"/>
          <w:lang w:eastAsia="es-CO"/>
        </w:rPr>
        <w:fldChar w:fldCharType="begin"/>
      </w:r>
      <w:r w:rsidRPr="00D2718B">
        <w:rPr>
          <w:rFonts w:ascii="Segoe UI" w:eastAsia="Times New Roman" w:hAnsi="Segoe UI" w:cs="Segoe UI"/>
          <w:color w:val="000000"/>
          <w:sz w:val="18"/>
          <w:szCs w:val="18"/>
          <w:lang w:eastAsia="es-CO"/>
        </w:rPr>
        <w:instrText xml:space="preserve"> HYPERLINK "http://www.ceta.org.co/html/vista_de_un_documento.asp?DocumentoID=28851" \l "_ftn37" \o "" </w:instrText>
      </w:r>
      <w:r w:rsidRPr="00D2718B">
        <w:rPr>
          <w:rFonts w:ascii="Segoe UI" w:eastAsia="Times New Roman" w:hAnsi="Segoe UI" w:cs="Segoe UI"/>
          <w:color w:val="000000"/>
          <w:sz w:val="18"/>
          <w:szCs w:val="18"/>
          <w:lang w:eastAsia="es-CO"/>
        </w:rPr>
        <w:fldChar w:fldCharType="separate"/>
      </w:r>
      <w:r w:rsidRPr="00D2718B">
        <w:rPr>
          <w:rFonts w:ascii="Segoe UI" w:eastAsia="Times New Roman" w:hAnsi="Segoe UI" w:cs="Segoe UI"/>
          <w:color w:val="0089E1"/>
          <w:sz w:val="22"/>
          <w:lang w:eastAsia="es-CO"/>
        </w:rPr>
        <w:t>[37]</w:t>
      </w:r>
      <w:r w:rsidRPr="00D2718B">
        <w:rPr>
          <w:rFonts w:ascii="Segoe UI" w:eastAsia="Times New Roman" w:hAnsi="Segoe UI" w:cs="Segoe UI"/>
          <w:color w:val="000000"/>
          <w:sz w:val="18"/>
          <w:szCs w:val="18"/>
          <w:lang w:eastAsia="es-CO"/>
        </w:rPr>
        <w:fldChar w:fldCharType="end"/>
      </w:r>
      <w:bookmarkEnd w:id="36"/>
      <w:r w:rsidRPr="00D2718B">
        <w:rPr>
          <w:rFonts w:ascii="Segoe UI" w:eastAsia="Times New Roman" w:hAnsi="Segoe UI" w:cs="Segoe UI"/>
          <w:color w:val="000000"/>
          <w:sz w:val="18"/>
          <w:szCs w:val="18"/>
          <w:lang w:eastAsia="es-CO"/>
        </w:rPr>
        <w:t>, pues para todos los efectos jurídicos la prestación de servicios excluye la relación laboral, se concreta en una obligación de hacer, sin importar si predomina el factor intelectual o material y a cambio del servicio prestado se recibe una remuneración.</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En similar sentido, respecto de las características del contrato de prestación de servicios, la Sección Tercera de esta Corporación se pronunció en el siguiente sentido</w:t>
      </w:r>
      <w:bookmarkStart w:id="37" w:name="_ftnref38"/>
      <w:r w:rsidRPr="00D2718B">
        <w:rPr>
          <w:rFonts w:ascii="Segoe UI" w:eastAsia="Times New Roman" w:hAnsi="Segoe UI" w:cs="Segoe UI"/>
          <w:color w:val="000000"/>
          <w:sz w:val="18"/>
          <w:szCs w:val="18"/>
          <w:lang w:eastAsia="es-CO"/>
        </w:rPr>
        <w:fldChar w:fldCharType="begin"/>
      </w:r>
      <w:r w:rsidRPr="00D2718B">
        <w:rPr>
          <w:rFonts w:ascii="Segoe UI" w:eastAsia="Times New Roman" w:hAnsi="Segoe UI" w:cs="Segoe UI"/>
          <w:color w:val="000000"/>
          <w:sz w:val="18"/>
          <w:szCs w:val="18"/>
          <w:lang w:eastAsia="es-CO"/>
        </w:rPr>
        <w:instrText xml:space="preserve"> HYPERLINK "http://www.ceta.org.co/html/vista_de_un_documento.asp?DocumentoID=28851" \l "_ftn38" \o "" </w:instrText>
      </w:r>
      <w:r w:rsidRPr="00D2718B">
        <w:rPr>
          <w:rFonts w:ascii="Segoe UI" w:eastAsia="Times New Roman" w:hAnsi="Segoe UI" w:cs="Segoe UI"/>
          <w:color w:val="000000"/>
          <w:sz w:val="18"/>
          <w:szCs w:val="18"/>
          <w:lang w:eastAsia="es-CO"/>
        </w:rPr>
        <w:fldChar w:fldCharType="separate"/>
      </w:r>
      <w:r w:rsidRPr="00D2718B">
        <w:rPr>
          <w:rFonts w:ascii="Segoe UI" w:eastAsia="Times New Roman" w:hAnsi="Segoe UI" w:cs="Segoe UI"/>
          <w:color w:val="0089E1"/>
          <w:sz w:val="22"/>
          <w:lang w:eastAsia="es-CO"/>
        </w:rPr>
        <w:t>[38]</w:t>
      </w:r>
      <w:r w:rsidRPr="00D2718B">
        <w:rPr>
          <w:rFonts w:ascii="Segoe UI" w:eastAsia="Times New Roman" w:hAnsi="Segoe UI" w:cs="Segoe UI"/>
          <w:color w:val="000000"/>
          <w:sz w:val="18"/>
          <w:szCs w:val="18"/>
          <w:lang w:eastAsia="es-CO"/>
        </w:rPr>
        <w:fldChar w:fldCharType="end"/>
      </w:r>
      <w:bookmarkEnd w:id="37"/>
      <w:r w:rsidRPr="00D2718B">
        <w:rPr>
          <w:rFonts w:ascii="Segoe UI" w:eastAsia="Times New Roman" w:hAnsi="Segoe UI" w:cs="Segoe UI"/>
          <w:color w:val="000000"/>
          <w:sz w:val="18"/>
          <w:szCs w:val="18"/>
          <w:lang w:eastAsia="es-CO"/>
        </w:rPr>
        <w:t>:</w:t>
      </w:r>
    </w:p>
    <w:p w:rsidR="00D2718B" w:rsidRPr="00D2718B" w:rsidRDefault="00D2718B" w:rsidP="00D2718B">
      <w:pPr>
        <w:spacing w:after="0" w:line="240" w:lineRule="auto"/>
        <w:ind w:left="284"/>
        <w:jc w:val="both"/>
        <w:rPr>
          <w:rFonts w:ascii="Arial" w:eastAsia="Times New Roman" w:hAnsi="Arial" w:cs="Arial"/>
          <w:color w:val="000000"/>
          <w:sz w:val="18"/>
          <w:szCs w:val="18"/>
          <w:lang w:eastAsia="es-CO"/>
        </w:rPr>
      </w:pPr>
      <w:r w:rsidRPr="00D2718B">
        <w:rPr>
          <w:rFonts w:ascii="Segoe UI" w:eastAsia="Times New Roman" w:hAnsi="Segoe UI" w:cs="Segoe UI"/>
          <w:i/>
          <w:iCs/>
          <w:color w:val="000000"/>
          <w:sz w:val="18"/>
          <w:szCs w:val="18"/>
          <w:lang w:eastAsia="es-CO"/>
        </w:rPr>
        <w:t> </w:t>
      </w:r>
    </w:p>
    <w:p w:rsidR="00D2718B" w:rsidRPr="00D2718B" w:rsidRDefault="00D2718B" w:rsidP="00D2718B">
      <w:pPr>
        <w:spacing w:after="0" w:line="240" w:lineRule="auto"/>
        <w:ind w:left="284"/>
        <w:jc w:val="both"/>
        <w:rPr>
          <w:rFonts w:ascii="Arial" w:eastAsia="Times New Roman" w:hAnsi="Arial" w:cs="Arial"/>
          <w:color w:val="000000"/>
          <w:sz w:val="18"/>
          <w:szCs w:val="18"/>
          <w:lang w:eastAsia="es-CO"/>
        </w:rPr>
      </w:pPr>
      <w:r w:rsidRPr="00D2718B">
        <w:rPr>
          <w:rFonts w:ascii="Segoe UI" w:eastAsia="Times New Roman" w:hAnsi="Segoe UI" w:cs="Segoe UI"/>
          <w:i/>
          <w:iCs/>
          <w:color w:val="000000"/>
          <w:sz w:val="18"/>
          <w:szCs w:val="18"/>
          <w:lang w:eastAsia="es-CO"/>
        </w:rPr>
        <w:t>“</w:t>
      </w:r>
      <w:r w:rsidRPr="00D2718B">
        <w:rPr>
          <w:rFonts w:ascii="Segoe UI" w:eastAsia="Times New Roman" w:hAnsi="Segoe UI" w:cs="Segoe UI"/>
          <w:i/>
          <w:iCs/>
          <w:color w:val="000000"/>
          <w:sz w:val="18"/>
          <w:szCs w:val="18"/>
          <w:u w:val="single"/>
          <w:lang w:eastAsia="es-CO"/>
        </w:rPr>
        <w:t>5.3. Orígenes históricos del contrato de presentación de servicios y su presencia en el derecho civil</w:t>
      </w:r>
    </w:p>
    <w:p w:rsidR="00D2718B" w:rsidRPr="00D2718B" w:rsidRDefault="00D2718B" w:rsidP="00D2718B">
      <w:pPr>
        <w:spacing w:after="0" w:line="240" w:lineRule="auto"/>
        <w:ind w:left="284"/>
        <w:jc w:val="both"/>
        <w:rPr>
          <w:rFonts w:ascii="Arial" w:eastAsia="Times New Roman" w:hAnsi="Arial" w:cs="Arial"/>
          <w:color w:val="000000"/>
          <w:sz w:val="18"/>
          <w:szCs w:val="18"/>
          <w:lang w:eastAsia="es-CO"/>
        </w:rPr>
      </w:pPr>
      <w:r w:rsidRPr="00D2718B">
        <w:rPr>
          <w:rFonts w:ascii="Segoe UI" w:eastAsia="Times New Roman" w:hAnsi="Segoe UI" w:cs="Segoe UI"/>
          <w:i/>
          <w:iCs/>
          <w:color w:val="000000"/>
          <w:sz w:val="18"/>
          <w:szCs w:val="18"/>
          <w:lang w:eastAsia="es-CO"/>
        </w:rPr>
        <w:t>[…]</w:t>
      </w:r>
    </w:p>
    <w:p w:rsidR="00D2718B" w:rsidRPr="00D2718B" w:rsidRDefault="00D2718B" w:rsidP="00D2718B">
      <w:pPr>
        <w:spacing w:after="0" w:line="240" w:lineRule="auto"/>
        <w:ind w:left="284"/>
        <w:jc w:val="both"/>
        <w:rPr>
          <w:rFonts w:ascii="Arial" w:eastAsia="Times New Roman" w:hAnsi="Arial" w:cs="Arial"/>
          <w:color w:val="000000"/>
          <w:sz w:val="18"/>
          <w:szCs w:val="18"/>
          <w:lang w:eastAsia="es-CO"/>
        </w:rPr>
      </w:pPr>
      <w:r w:rsidRPr="00D2718B">
        <w:rPr>
          <w:rFonts w:ascii="Segoe UI" w:eastAsia="Times New Roman" w:hAnsi="Segoe UI" w:cs="Segoe UI"/>
          <w:i/>
          <w:iCs/>
          <w:color w:val="000000"/>
          <w:sz w:val="18"/>
          <w:szCs w:val="18"/>
          <w:lang w:eastAsia="es-CO"/>
        </w:rPr>
        <w:t>En la actualidad, el negocio jurídico de derecho civil conocido en Colombia como ‘contrato de prestación de servicios profesionales’ es un negocio atípico e innominado</w:t>
      </w:r>
      <w:bookmarkStart w:id="38" w:name="_ftnref39"/>
      <w:r w:rsidRPr="00D2718B">
        <w:rPr>
          <w:rFonts w:ascii="Segoe UI" w:eastAsia="Times New Roman" w:hAnsi="Segoe UI" w:cs="Segoe UI"/>
          <w:i/>
          <w:iCs/>
          <w:color w:val="000000"/>
          <w:sz w:val="18"/>
          <w:szCs w:val="18"/>
          <w:lang w:eastAsia="es-CO"/>
        </w:rPr>
        <w:fldChar w:fldCharType="begin"/>
      </w:r>
      <w:r w:rsidRPr="00D2718B">
        <w:rPr>
          <w:rFonts w:ascii="Segoe UI" w:eastAsia="Times New Roman" w:hAnsi="Segoe UI" w:cs="Segoe UI"/>
          <w:i/>
          <w:iCs/>
          <w:color w:val="000000"/>
          <w:sz w:val="18"/>
          <w:szCs w:val="18"/>
          <w:lang w:eastAsia="es-CO"/>
        </w:rPr>
        <w:instrText xml:space="preserve"> HYPERLINK "http://www.ceta.org.co/html/vista_de_un_documento.asp?DocumentoID=28851" \l "_ftn39" \o "" </w:instrText>
      </w:r>
      <w:r w:rsidRPr="00D2718B">
        <w:rPr>
          <w:rFonts w:ascii="Segoe UI" w:eastAsia="Times New Roman" w:hAnsi="Segoe UI" w:cs="Segoe UI"/>
          <w:i/>
          <w:iCs/>
          <w:color w:val="000000"/>
          <w:sz w:val="18"/>
          <w:szCs w:val="18"/>
          <w:lang w:eastAsia="es-CO"/>
        </w:rPr>
        <w:fldChar w:fldCharType="separate"/>
      </w:r>
      <w:r w:rsidRPr="00D2718B">
        <w:rPr>
          <w:rFonts w:ascii="Segoe UI" w:eastAsia="Times New Roman" w:hAnsi="Segoe UI" w:cs="Segoe UI"/>
          <w:b/>
          <w:bCs/>
          <w:i/>
          <w:iCs/>
          <w:color w:val="0089E1"/>
          <w:sz w:val="22"/>
          <w:lang w:eastAsia="es-CO"/>
        </w:rPr>
        <w:t>[39]</w:t>
      </w:r>
      <w:r w:rsidRPr="00D2718B">
        <w:rPr>
          <w:rFonts w:ascii="Segoe UI" w:eastAsia="Times New Roman" w:hAnsi="Segoe UI" w:cs="Segoe UI"/>
          <w:i/>
          <w:iCs/>
          <w:color w:val="000000"/>
          <w:sz w:val="18"/>
          <w:szCs w:val="18"/>
          <w:lang w:eastAsia="es-CO"/>
        </w:rPr>
        <w:fldChar w:fldCharType="end"/>
      </w:r>
      <w:bookmarkEnd w:id="38"/>
      <w:r w:rsidRPr="00D2718B">
        <w:rPr>
          <w:rFonts w:ascii="Segoe UI" w:eastAsia="Times New Roman" w:hAnsi="Segoe UI" w:cs="Segoe UI"/>
          <w:i/>
          <w:iCs/>
          <w:color w:val="000000"/>
          <w:sz w:val="18"/>
          <w:szCs w:val="18"/>
          <w:lang w:eastAsia="es-CO"/>
        </w:rPr>
        <w:t xml:space="preserve">, dado que no encuentra consagración </w:t>
      </w:r>
      <w:r w:rsidRPr="00D2718B">
        <w:rPr>
          <w:rFonts w:ascii="Segoe UI" w:eastAsia="Times New Roman" w:hAnsi="Segoe UI" w:cs="Segoe UI"/>
          <w:i/>
          <w:iCs/>
          <w:color w:val="000000"/>
          <w:sz w:val="18"/>
          <w:szCs w:val="18"/>
          <w:lang w:eastAsia="es-CO"/>
        </w:rPr>
        <w:lastRenderedPageBreak/>
        <w:t>normativa dentro de las disposiciones legales civiles. No obstante, existen dos supuestos que logran adecuar tal contrato dentro de la normatividad correspondiente al capítulo ‘Del arrendamiento de servicios inmateriales’: En primer lugar, el procedimiento de calificación jurídica, en virtud del cual el intérprete compara el contrato celebrado por las partes con la legislación vigente, y le asigna, en la medida de lo posible, la regulación íntegra del tipo contractual que coincida con lo acordado por ellas; en segundo lugar, la inclusión que usualmente hacen los contratantes de cláusulas que de manera expresa remiten a los artículos correspondientes al arrendamiento de servicios inmateriales.</w:t>
      </w:r>
    </w:p>
    <w:p w:rsidR="00D2718B" w:rsidRPr="00D2718B" w:rsidRDefault="00D2718B" w:rsidP="00D2718B">
      <w:pPr>
        <w:spacing w:after="0" w:line="240" w:lineRule="auto"/>
        <w:ind w:left="284"/>
        <w:jc w:val="both"/>
        <w:rPr>
          <w:rFonts w:ascii="Arial" w:eastAsia="Times New Roman" w:hAnsi="Arial" w:cs="Arial"/>
          <w:color w:val="000000"/>
          <w:sz w:val="18"/>
          <w:szCs w:val="18"/>
          <w:lang w:eastAsia="es-CO"/>
        </w:rPr>
      </w:pPr>
      <w:r w:rsidRPr="00D2718B">
        <w:rPr>
          <w:rFonts w:ascii="Segoe UI" w:eastAsia="Times New Roman" w:hAnsi="Segoe UI" w:cs="Segoe UI"/>
          <w:i/>
          <w:iCs/>
          <w:color w:val="000000"/>
          <w:sz w:val="18"/>
          <w:szCs w:val="18"/>
          <w:lang w:eastAsia="es-CO"/>
        </w:rPr>
        <w:t> </w:t>
      </w:r>
    </w:p>
    <w:p w:rsidR="00D2718B" w:rsidRPr="00D2718B" w:rsidRDefault="00D2718B" w:rsidP="00D2718B">
      <w:pPr>
        <w:spacing w:after="0" w:line="240" w:lineRule="auto"/>
        <w:ind w:left="284"/>
        <w:jc w:val="both"/>
        <w:rPr>
          <w:rFonts w:ascii="Arial" w:eastAsia="Times New Roman" w:hAnsi="Arial" w:cs="Arial"/>
          <w:color w:val="000000"/>
          <w:sz w:val="18"/>
          <w:szCs w:val="18"/>
          <w:lang w:eastAsia="es-CO"/>
        </w:rPr>
      </w:pPr>
      <w:r w:rsidRPr="00D2718B">
        <w:rPr>
          <w:rFonts w:ascii="Segoe UI" w:eastAsia="Times New Roman" w:hAnsi="Segoe UI" w:cs="Segoe UI"/>
          <w:i/>
          <w:iCs/>
          <w:color w:val="000000"/>
          <w:sz w:val="18"/>
          <w:szCs w:val="18"/>
          <w:lang w:eastAsia="es-CO"/>
        </w:rPr>
        <w:t>La Sala puede concluir de la exposición hecha hasta el momento que son parte de la naturaleza del contrato de arrendamiento de servicios inmateriales las siguientes características: bilateralidad, onerosidad, temporalidad, destinación a un propósito específico y la condición de ser una obligación de medio.” </w:t>
      </w:r>
      <w:r w:rsidRPr="00D2718B">
        <w:rPr>
          <w:rFonts w:ascii="Segoe UI" w:eastAsia="Times New Roman" w:hAnsi="Segoe UI" w:cs="Segoe UI"/>
          <w:color w:val="000000"/>
          <w:sz w:val="18"/>
          <w:szCs w:val="18"/>
          <w:lang w:eastAsia="es-CO"/>
        </w:rPr>
        <w:t>(Subraya la Sala)</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En el presente asunto, los contratos suscritos por el actor tienen por objeto la </w:t>
      </w:r>
      <w:r w:rsidRPr="00D2718B">
        <w:rPr>
          <w:rFonts w:ascii="Segoe UI" w:eastAsia="Times New Roman" w:hAnsi="Segoe UI" w:cs="Segoe UI"/>
          <w:b/>
          <w:bCs/>
          <w:color w:val="000000"/>
          <w:sz w:val="18"/>
          <w:szCs w:val="18"/>
          <w:lang w:eastAsia="es-CO"/>
        </w:rPr>
        <w:t>realización de obras de construcción a todo costo </w:t>
      </w:r>
      <w:r w:rsidRPr="00D2718B">
        <w:rPr>
          <w:rFonts w:ascii="Segoe UI" w:eastAsia="Times New Roman" w:hAnsi="Segoe UI" w:cs="Segoe UI"/>
          <w:color w:val="000000"/>
          <w:sz w:val="18"/>
          <w:szCs w:val="18"/>
          <w:lang w:eastAsia="es-CO"/>
        </w:rPr>
        <w:t>(obligación de hacer), para lo cual en el cláusula primera de todos los contratos civiles de obra las partes convinieron que “</w:t>
      </w:r>
      <w:r w:rsidRPr="00D2718B">
        <w:rPr>
          <w:rFonts w:ascii="Segoe UI" w:eastAsia="Times New Roman" w:hAnsi="Segoe UI" w:cs="Segoe UI"/>
          <w:i/>
          <w:iCs/>
          <w:color w:val="000000"/>
          <w:sz w:val="18"/>
          <w:szCs w:val="18"/>
          <w:lang w:eastAsia="es-CO"/>
        </w:rPr>
        <w:t>El contratista se obliga para con el contratante a ejecutar la obra de acuerdo con la descripción y con los planos, especificaciones y cotizaciones previamente aprobados, que se anexan al presente contrato como parte del mismo. El Contratante se reserva el derecho a rechazar cualquier parte de la obra o del material que no esté acorde con las especificaciones del contrato o de seguridad exigidas</w:t>
      </w:r>
      <w:r w:rsidRPr="00D2718B">
        <w:rPr>
          <w:rFonts w:ascii="Segoe UI" w:eastAsia="Times New Roman" w:hAnsi="Segoe UI" w:cs="Segoe UI"/>
          <w:color w:val="000000"/>
          <w:sz w:val="18"/>
          <w:szCs w:val="18"/>
          <w:lang w:eastAsia="es-CO"/>
        </w:rPr>
        <w:t>.”</w:t>
      </w:r>
      <w:bookmarkStart w:id="39" w:name="_ftnref40"/>
      <w:r w:rsidRPr="00D2718B">
        <w:rPr>
          <w:rFonts w:ascii="Segoe UI" w:eastAsia="Times New Roman" w:hAnsi="Segoe UI" w:cs="Segoe UI"/>
          <w:color w:val="000000"/>
          <w:sz w:val="18"/>
          <w:szCs w:val="18"/>
          <w:lang w:eastAsia="es-CO"/>
        </w:rPr>
        <w:fldChar w:fldCharType="begin"/>
      </w:r>
      <w:r w:rsidRPr="00D2718B">
        <w:rPr>
          <w:rFonts w:ascii="Segoe UI" w:eastAsia="Times New Roman" w:hAnsi="Segoe UI" w:cs="Segoe UI"/>
          <w:color w:val="000000"/>
          <w:sz w:val="18"/>
          <w:szCs w:val="18"/>
          <w:lang w:eastAsia="es-CO"/>
        </w:rPr>
        <w:instrText xml:space="preserve"> HYPERLINK "http://www.ceta.org.co/html/vista_de_un_documento.asp?DocumentoID=28851" \l "_ftn40" \o "" </w:instrText>
      </w:r>
      <w:r w:rsidRPr="00D2718B">
        <w:rPr>
          <w:rFonts w:ascii="Segoe UI" w:eastAsia="Times New Roman" w:hAnsi="Segoe UI" w:cs="Segoe UI"/>
          <w:color w:val="000000"/>
          <w:sz w:val="18"/>
          <w:szCs w:val="18"/>
          <w:lang w:eastAsia="es-CO"/>
        </w:rPr>
        <w:fldChar w:fldCharType="separate"/>
      </w:r>
      <w:r w:rsidRPr="00D2718B">
        <w:rPr>
          <w:rFonts w:ascii="Segoe UI" w:eastAsia="Times New Roman" w:hAnsi="Segoe UI" w:cs="Segoe UI"/>
          <w:color w:val="0089E1"/>
          <w:sz w:val="22"/>
          <w:lang w:eastAsia="es-CO"/>
        </w:rPr>
        <w:t>[40]</w:t>
      </w:r>
      <w:r w:rsidRPr="00D2718B">
        <w:rPr>
          <w:rFonts w:ascii="Segoe UI" w:eastAsia="Times New Roman" w:hAnsi="Segoe UI" w:cs="Segoe UI"/>
          <w:color w:val="000000"/>
          <w:sz w:val="18"/>
          <w:szCs w:val="18"/>
          <w:lang w:eastAsia="es-CO"/>
        </w:rPr>
        <w:fldChar w:fldCharType="end"/>
      </w:r>
      <w:bookmarkEnd w:id="39"/>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En la cláusula decimoquinta de los contratos se estipula el valor de estos, con lo cual se cumple el elemento de todo contrato de prestación de servicios, referente a la remuneración de la labor contratada</w:t>
      </w:r>
      <w:bookmarkStart w:id="40" w:name="_ftnref41"/>
      <w:r w:rsidRPr="00D2718B">
        <w:rPr>
          <w:rFonts w:ascii="Segoe UI" w:eastAsia="Times New Roman" w:hAnsi="Segoe UI" w:cs="Segoe UI"/>
          <w:color w:val="000000"/>
          <w:sz w:val="18"/>
          <w:szCs w:val="18"/>
          <w:lang w:eastAsia="es-CO"/>
        </w:rPr>
        <w:fldChar w:fldCharType="begin"/>
      </w:r>
      <w:r w:rsidRPr="00D2718B">
        <w:rPr>
          <w:rFonts w:ascii="Segoe UI" w:eastAsia="Times New Roman" w:hAnsi="Segoe UI" w:cs="Segoe UI"/>
          <w:color w:val="000000"/>
          <w:sz w:val="18"/>
          <w:szCs w:val="18"/>
          <w:lang w:eastAsia="es-CO"/>
        </w:rPr>
        <w:instrText xml:space="preserve"> HYPERLINK "http://www.ceta.org.co/html/vista_de_un_documento.asp?DocumentoID=28851" \l "_ftn41" \o "" </w:instrText>
      </w:r>
      <w:r w:rsidRPr="00D2718B">
        <w:rPr>
          <w:rFonts w:ascii="Segoe UI" w:eastAsia="Times New Roman" w:hAnsi="Segoe UI" w:cs="Segoe UI"/>
          <w:color w:val="000000"/>
          <w:sz w:val="18"/>
          <w:szCs w:val="18"/>
          <w:lang w:eastAsia="es-CO"/>
        </w:rPr>
        <w:fldChar w:fldCharType="separate"/>
      </w:r>
      <w:r w:rsidRPr="00D2718B">
        <w:rPr>
          <w:rFonts w:ascii="Segoe UI" w:eastAsia="Times New Roman" w:hAnsi="Segoe UI" w:cs="Segoe UI"/>
          <w:color w:val="0089E1"/>
          <w:sz w:val="22"/>
          <w:lang w:eastAsia="es-CO"/>
        </w:rPr>
        <w:t>[41]</w:t>
      </w:r>
      <w:r w:rsidRPr="00D2718B">
        <w:rPr>
          <w:rFonts w:ascii="Segoe UI" w:eastAsia="Times New Roman" w:hAnsi="Segoe UI" w:cs="Segoe UI"/>
          <w:color w:val="000000"/>
          <w:sz w:val="18"/>
          <w:szCs w:val="18"/>
          <w:lang w:eastAsia="es-CO"/>
        </w:rPr>
        <w:fldChar w:fldCharType="end"/>
      </w:r>
      <w:bookmarkEnd w:id="40"/>
      <w:r w:rsidRPr="00D2718B">
        <w:rPr>
          <w:rFonts w:ascii="Segoe UI" w:eastAsia="Times New Roman" w:hAnsi="Segoe UI" w:cs="Segoe UI"/>
          <w:color w:val="000000"/>
          <w:sz w:val="18"/>
          <w:szCs w:val="18"/>
          <w:lang w:eastAsia="es-CO"/>
        </w:rPr>
        <w:t>.</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En relación con el vínculo entre contratante y contratista, en la cláusula novena de los contratos se pactó que “</w:t>
      </w:r>
      <w:r w:rsidRPr="00D2718B">
        <w:rPr>
          <w:rFonts w:ascii="Segoe UI" w:eastAsia="Times New Roman" w:hAnsi="Segoe UI" w:cs="Segoe UI"/>
          <w:i/>
          <w:iCs/>
          <w:color w:val="000000"/>
          <w:sz w:val="18"/>
          <w:szCs w:val="18"/>
          <w:lang w:eastAsia="es-CO"/>
        </w:rPr>
        <w:t>Puesto que el Contratista tiene completa autonomía técnica y directiva en la obra y se compromete a realizarla con su propios medios y bajo su responsabilidad, este contrato no es de carácter laboral y por lo tanto no genera prestaciones sociales a su favor. Así mismo el pago de las obligaciones FIC y SENA según decreto 2375-083-1047</w:t>
      </w:r>
      <w:r w:rsidRPr="00D2718B">
        <w:rPr>
          <w:rFonts w:ascii="Segoe UI" w:eastAsia="Times New Roman" w:hAnsi="Segoe UI" w:cs="Segoe UI"/>
          <w:color w:val="000000"/>
          <w:sz w:val="18"/>
          <w:szCs w:val="18"/>
          <w:lang w:eastAsia="es-CO"/>
        </w:rPr>
        <w:t>.”</w:t>
      </w:r>
      <w:bookmarkStart w:id="41" w:name="_ftnref42"/>
      <w:r w:rsidRPr="00D2718B">
        <w:rPr>
          <w:rFonts w:ascii="Segoe UI" w:eastAsia="Times New Roman" w:hAnsi="Segoe UI" w:cs="Segoe UI"/>
          <w:color w:val="000000"/>
          <w:sz w:val="18"/>
          <w:szCs w:val="18"/>
          <w:lang w:eastAsia="es-CO"/>
        </w:rPr>
        <w:fldChar w:fldCharType="begin"/>
      </w:r>
      <w:r w:rsidRPr="00D2718B">
        <w:rPr>
          <w:rFonts w:ascii="Segoe UI" w:eastAsia="Times New Roman" w:hAnsi="Segoe UI" w:cs="Segoe UI"/>
          <w:color w:val="000000"/>
          <w:sz w:val="18"/>
          <w:szCs w:val="18"/>
          <w:lang w:eastAsia="es-CO"/>
        </w:rPr>
        <w:instrText xml:space="preserve"> HYPERLINK "http://www.ceta.org.co/html/vista_de_un_documento.asp?DocumentoID=28851" \l "_ftn42" \o "" </w:instrText>
      </w:r>
      <w:r w:rsidRPr="00D2718B">
        <w:rPr>
          <w:rFonts w:ascii="Segoe UI" w:eastAsia="Times New Roman" w:hAnsi="Segoe UI" w:cs="Segoe UI"/>
          <w:color w:val="000000"/>
          <w:sz w:val="18"/>
          <w:szCs w:val="18"/>
          <w:lang w:eastAsia="es-CO"/>
        </w:rPr>
        <w:fldChar w:fldCharType="separate"/>
      </w:r>
      <w:r w:rsidRPr="00D2718B">
        <w:rPr>
          <w:rFonts w:ascii="Segoe UI" w:eastAsia="Times New Roman" w:hAnsi="Segoe UI" w:cs="Segoe UI"/>
          <w:color w:val="0089E1"/>
          <w:sz w:val="22"/>
          <w:lang w:eastAsia="es-CO"/>
        </w:rPr>
        <w:t>[42]</w:t>
      </w:r>
      <w:r w:rsidRPr="00D2718B">
        <w:rPr>
          <w:rFonts w:ascii="Segoe UI" w:eastAsia="Times New Roman" w:hAnsi="Segoe UI" w:cs="Segoe UI"/>
          <w:color w:val="000000"/>
          <w:sz w:val="18"/>
          <w:szCs w:val="18"/>
          <w:lang w:eastAsia="es-CO"/>
        </w:rPr>
        <w:fldChar w:fldCharType="end"/>
      </w:r>
      <w:bookmarkEnd w:id="41"/>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Por lo tanto, se encuentra cumplida la característica de los contratos de prestación de servicio, relacionada con la ausencia de relación laboral o subordinación entre los contratantes.</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Los contratos de obra civil que celebró la actora son de prestación de servicios por las características propias de estos contratos, pues se identifican plenamente con el contrato de prestación de servicios, dado que las partes convienen la ejecución de una obligación de hacer (una labor o labores específicas), a cambio de una remuneración, sin subordinación laboral. Por ello, se cumplen todos los requisitos del servicio previstos en el artículo 1 del Decreto 1372 de 1992.</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El hecho de que para efectos de la clasificación de actividades económicas, de acuerdo con la Resolución DIAN 11351 de 28 de noviembre de 2005 la actividad del actor se clasifique como de construcción de obras de ingeniería (código 4530), no significa que el actor enajene activos, sino que el servicio profesional que presta es de construcción de obras de ingeniería. La referencia a la actividad económica del actor se realiza con el propósito de identificar de manera más precisa el origen de sus ingresos.</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En suma, el </w:t>
      </w:r>
      <w:r w:rsidRPr="00D2718B">
        <w:rPr>
          <w:rFonts w:ascii="Segoe UI" w:eastAsia="Times New Roman" w:hAnsi="Segoe UI" w:cs="Segoe UI"/>
          <w:b/>
          <w:bCs/>
          <w:color w:val="000000"/>
          <w:sz w:val="18"/>
          <w:szCs w:val="18"/>
          <w:lang w:eastAsia="es-CO"/>
        </w:rPr>
        <w:t>objeto </w:t>
      </w:r>
      <w:r w:rsidRPr="00D2718B">
        <w:rPr>
          <w:rFonts w:ascii="Segoe UI" w:eastAsia="Times New Roman" w:hAnsi="Segoe UI" w:cs="Segoe UI"/>
          <w:color w:val="000000"/>
          <w:sz w:val="18"/>
          <w:szCs w:val="18"/>
          <w:lang w:eastAsia="es-CO"/>
        </w:rPr>
        <w:t>de los contratos de obra civil suscritos por el demandante no es la enajenación de activos sino la prestación de un servicio consistente en la realización de </w:t>
      </w:r>
      <w:r w:rsidRPr="00D2718B">
        <w:rPr>
          <w:rFonts w:ascii="Segoe UI" w:eastAsia="Times New Roman" w:hAnsi="Segoe UI" w:cs="Segoe UI"/>
          <w:b/>
          <w:bCs/>
          <w:color w:val="000000"/>
          <w:sz w:val="18"/>
          <w:szCs w:val="18"/>
          <w:lang w:eastAsia="es-CO"/>
        </w:rPr>
        <w:t>obras de construcción a todo costo</w:t>
      </w:r>
      <w:r w:rsidRPr="00D2718B">
        <w:rPr>
          <w:rFonts w:ascii="Segoe UI" w:eastAsia="Times New Roman" w:hAnsi="Segoe UI" w:cs="Segoe UI"/>
          <w:color w:val="000000"/>
          <w:sz w:val="18"/>
          <w:szCs w:val="18"/>
          <w:lang w:eastAsia="es-CO"/>
        </w:rPr>
        <w:t>, para lo cual, a cambio de una remuneración, este se obliga, por su cuenta y riesgo, a ejecutar la obra (obligación de hacer), de acuerdo con la descripción y los planos, especificaciones y cotizaciones previamente aprobados por el contratante. En consecuencia, no es posible dar aplicación al </w:t>
      </w:r>
      <w:hyperlink r:id="rId41" w:tooltip="Estatuto Tributario CETA" w:history="1">
        <w:r w:rsidRPr="00D2718B">
          <w:rPr>
            <w:rFonts w:ascii="Segoe UI" w:eastAsia="Times New Roman" w:hAnsi="Segoe UI" w:cs="Segoe UI"/>
            <w:color w:val="0089E1"/>
            <w:sz w:val="18"/>
            <w:szCs w:val="18"/>
            <w:lang w:eastAsia="es-CO"/>
          </w:rPr>
          <w:t>artículo 82</w:t>
        </w:r>
      </w:hyperlink>
      <w:r w:rsidRPr="00D2718B">
        <w:rPr>
          <w:rFonts w:ascii="Segoe UI" w:eastAsia="Times New Roman" w:hAnsi="Segoe UI" w:cs="Segoe UI"/>
          <w:color w:val="000000"/>
          <w:sz w:val="18"/>
          <w:szCs w:val="18"/>
          <w:lang w:eastAsia="es-CO"/>
        </w:rPr>
        <w:t> inciso 3 del E.T.</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Cabe anotar que, en materia de costos, la norma aplicable al actor es el </w:t>
      </w:r>
      <w:hyperlink r:id="rId42" w:tooltip="Estatuto Tributario CETA" w:history="1">
        <w:r w:rsidRPr="00D2718B">
          <w:rPr>
            <w:rFonts w:ascii="Segoe UI" w:eastAsia="Times New Roman" w:hAnsi="Segoe UI" w:cs="Segoe UI"/>
            <w:color w:val="0089E1"/>
            <w:sz w:val="18"/>
            <w:szCs w:val="18"/>
            <w:lang w:eastAsia="es-CO"/>
          </w:rPr>
          <w:t>artículo 87</w:t>
        </w:r>
      </w:hyperlink>
      <w:r w:rsidRPr="00D2718B">
        <w:rPr>
          <w:rFonts w:ascii="Segoe UI" w:eastAsia="Times New Roman" w:hAnsi="Segoe UI" w:cs="Segoe UI"/>
          <w:color w:val="000000"/>
          <w:sz w:val="18"/>
          <w:szCs w:val="18"/>
          <w:lang w:eastAsia="es-CO"/>
        </w:rPr>
        <w:t> inciso 2 del Estatuto Tributario, establecida para la prestación de servicios de los profesionales independientes y comisionistas de bolsa. Dicha norma prevé el límite de los costos y deducciones para los profesionales independientes que ejercen actividades de construcción de bienes inmuebles y obras civiles.</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El </w:t>
      </w:r>
      <w:hyperlink r:id="rId43" w:tooltip="Estatuto Tributario CETA" w:history="1">
        <w:r w:rsidRPr="00D2718B">
          <w:rPr>
            <w:rFonts w:ascii="Segoe UI" w:eastAsia="Times New Roman" w:hAnsi="Segoe UI" w:cs="Segoe UI"/>
            <w:color w:val="0089E1"/>
            <w:sz w:val="18"/>
            <w:szCs w:val="18"/>
            <w:lang w:eastAsia="es-CO"/>
          </w:rPr>
          <w:t>artículo 87</w:t>
        </w:r>
      </w:hyperlink>
      <w:r w:rsidRPr="00D2718B">
        <w:rPr>
          <w:rFonts w:ascii="Segoe UI" w:eastAsia="Times New Roman" w:hAnsi="Segoe UI" w:cs="Segoe UI"/>
          <w:color w:val="000000"/>
          <w:sz w:val="18"/>
          <w:szCs w:val="18"/>
          <w:lang w:eastAsia="es-CO"/>
        </w:rPr>
        <w:t> del Estatuto Tributario dispone lo siguiente:</w:t>
      </w:r>
    </w:p>
    <w:p w:rsidR="00D2718B" w:rsidRPr="00D2718B" w:rsidRDefault="00D2718B" w:rsidP="00D2718B">
      <w:pPr>
        <w:spacing w:after="0" w:line="240" w:lineRule="auto"/>
        <w:ind w:left="284"/>
        <w:jc w:val="both"/>
        <w:rPr>
          <w:rFonts w:ascii="Arial" w:eastAsia="Times New Roman" w:hAnsi="Arial" w:cs="Arial"/>
          <w:color w:val="000000"/>
          <w:sz w:val="18"/>
          <w:szCs w:val="18"/>
          <w:lang w:eastAsia="es-CO"/>
        </w:rPr>
      </w:pPr>
      <w:r w:rsidRPr="00D2718B">
        <w:rPr>
          <w:rFonts w:ascii="Segoe UI" w:eastAsia="Times New Roman" w:hAnsi="Segoe UI" w:cs="Segoe UI"/>
          <w:i/>
          <w:iCs/>
          <w:color w:val="000000"/>
          <w:sz w:val="18"/>
          <w:szCs w:val="18"/>
          <w:lang w:eastAsia="es-CO"/>
        </w:rPr>
        <w:t> </w:t>
      </w:r>
    </w:p>
    <w:p w:rsidR="00D2718B" w:rsidRPr="00D2718B" w:rsidRDefault="00D2718B" w:rsidP="00D2718B">
      <w:pPr>
        <w:spacing w:after="0" w:line="240" w:lineRule="auto"/>
        <w:ind w:left="284"/>
        <w:jc w:val="both"/>
        <w:rPr>
          <w:rFonts w:ascii="Arial" w:eastAsia="Times New Roman" w:hAnsi="Arial" w:cs="Arial"/>
          <w:color w:val="000000"/>
          <w:sz w:val="18"/>
          <w:szCs w:val="18"/>
          <w:lang w:eastAsia="es-CO"/>
        </w:rPr>
      </w:pPr>
      <w:r w:rsidRPr="00D2718B">
        <w:rPr>
          <w:rFonts w:ascii="Segoe UI" w:eastAsia="Times New Roman" w:hAnsi="Segoe UI" w:cs="Segoe UI"/>
          <w:b/>
          <w:bCs/>
          <w:i/>
          <w:iCs/>
          <w:color w:val="000000"/>
          <w:sz w:val="18"/>
          <w:szCs w:val="18"/>
          <w:lang w:eastAsia="es-CO"/>
        </w:rPr>
        <w:t>“</w:t>
      </w:r>
      <w:hyperlink r:id="rId44" w:tooltip="Estatuto Tributario CETA" w:history="1">
        <w:r w:rsidRPr="00D2718B">
          <w:rPr>
            <w:rFonts w:ascii="Segoe UI" w:eastAsia="Times New Roman" w:hAnsi="Segoe UI" w:cs="Segoe UI"/>
            <w:b/>
            <w:bCs/>
            <w:i/>
            <w:iCs/>
            <w:color w:val="0089E1"/>
            <w:sz w:val="18"/>
            <w:szCs w:val="18"/>
            <w:lang w:eastAsia="es-CO"/>
          </w:rPr>
          <w:t>Artículo 87</w:t>
        </w:r>
      </w:hyperlink>
      <w:r w:rsidRPr="00D2718B">
        <w:rPr>
          <w:rFonts w:ascii="Segoe UI" w:eastAsia="Times New Roman" w:hAnsi="Segoe UI" w:cs="Segoe UI"/>
          <w:b/>
          <w:bCs/>
          <w:i/>
          <w:iCs/>
          <w:color w:val="000000"/>
          <w:sz w:val="18"/>
          <w:szCs w:val="18"/>
          <w:lang w:eastAsia="es-CO"/>
        </w:rPr>
        <w:t>. Limitación de los costos a profesionales independientes y comisionistas.</w:t>
      </w:r>
      <w:r w:rsidRPr="00D2718B">
        <w:rPr>
          <w:rFonts w:ascii="Segoe UI" w:eastAsia="Times New Roman" w:hAnsi="Segoe UI" w:cs="Segoe UI"/>
          <w:i/>
          <w:iCs/>
          <w:color w:val="000000"/>
          <w:sz w:val="18"/>
          <w:szCs w:val="18"/>
          <w:lang w:eastAsia="es-CO"/>
        </w:rPr>
        <w:t> Los costos y deducciones imputables a la actividad propia de los profesionales independientes y de los comisionistas, que sean personas naturales, no podrá exceder del cincuenta por ciento (50%) de los ingresos que por razón de su actividad propia perciban tales contribuyentes.</w:t>
      </w:r>
    </w:p>
    <w:p w:rsidR="00D2718B" w:rsidRPr="00D2718B" w:rsidRDefault="00D2718B" w:rsidP="00D2718B">
      <w:pPr>
        <w:spacing w:after="0" w:line="240" w:lineRule="auto"/>
        <w:ind w:left="284"/>
        <w:jc w:val="both"/>
        <w:rPr>
          <w:rFonts w:ascii="Arial" w:eastAsia="Times New Roman" w:hAnsi="Arial" w:cs="Arial"/>
          <w:color w:val="000000"/>
          <w:sz w:val="18"/>
          <w:szCs w:val="18"/>
          <w:lang w:eastAsia="es-CO"/>
        </w:rPr>
      </w:pPr>
      <w:r w:rsidRPr="00D2718B">
        <w:rPr>
          <w:rFonts w:ascii="Segoe UI" w:eastAsia="Times New Roman" w:hAnsi="Segoe UI" w:cs="Segoe UI"/>
          <w:i/>
          <w:iCs/>
          <w:color w:val="000000"/>
          <w:sz w:val="18"/>
          <w:szCs w:val="18"/>
          <w:lang w:eastAsia="es-CO"/>
        </w:rPr>
        <w:t> </w:t>
      </w:r>
    </w:p>
    <w:p w:rsidR="00D2718B" w:rsidRPr="00D2718B" w:rsidRDefault="00D2718B" w:rsidP="00D2718B">
      <w:pPr>
        <w:spacing w:after="0" w:line="240" w:lineRule="auto"/>
        <w:ind w:left="284"/>
        <w:jc w:val="both"/>
        <w:rPr>
          <w:rFonts w:ascii="Arial" w:eastAsia="Times New Roman" w:hAnsi="Arial" w:cs="Arial"/>
          <w:color w:val="000000"/>
          <w:sz w:val="18"/>
          <w:szCs w:val="18"/>
          <w:lang w:eastAsia="es-CO"/>
        </w:rPr>
      </w:pPr>
      <w:r w:rsidRPr="00D2718B">
        <w:rPr>
          <w:rFonts w:ascii="Segoe UI" w:eastAsia="Times New Roman" w:hAnsi="Segoe UI" w:cs="Segoe UI"/>
          <w:i/>
          <w:iCs/>
          <w:color w:val="000000"/>
          <w:sz w:val="18"/>
          <w:szCs w:val="18"/>
          <w:u w:val="single"/>
          <w:lang w:eastAsia="es-CO"/>
        </w:rPr>
        <w:lastRenderedPageBreak/>
        <w:t>Cuando se trate de contratos de construcción de bienes inmuebles y obras civiles ejecutados por arquitectos o ingenieros contratistas, el límite anterior será del noventa por ciento (90%), pero deberán llevar libros de contabilidad registrados en la cámara de comercio o en la administración de impuestos nacionales</w:t>
      </w:r>
      <w:r w:rsidRPr="00D2718B">
        <w:rPr>
          <w:rFonts w:ascii="Segoe UI" w:eastAsia="Times New Roman" w:hAnsi="Segoe UI" w:cs="Segoe UI"/>
          <w:i/>
          <w:iCs/>
          <w:color w:val="000000"/>
          <w:sz w:val="18"/>
          <w:szCs w:val="18"/>
          <w:lang w:eastAsia="es-CO"/>
        </w:rPr>
        <w:t>.</w:t>
      </w:r>
    </w:p>
    <w:p w:rsidR="00D2718B" w:rsidRPr="00D2718B" w:rsidRDefault="00D2718B" w:rsidP="00D2718B">
      <w:pPr>
        <w:spacing w:after="0" w:line="240" w:lineRule="auto"/>
        <w:ind w:left="284"/>
        <w:jc w:val="both"/>
        <w:rPr>
          <w:rFonts w:ascii="Arial" w:eastAsia="Times New Roman" w:hAnsi="Arial" w:cs="Arial"/>
          <w:color w:val="000000"/>
          <w:sz w:val="18"/>
          <w:szCs w:val="18"/>
          <w:lang w:eastAsia="es-CO"/>
        </w:rPr>
      </w:pPr>
      <w:r w:rsidRPr="00D2718B">
        <w:rPr>
          <w:rFonts w:ascii="Segoe UI" w:eastAsia="Times New Roman" w:hAnsi="Segoe UI" w:cs="Segoe UI"/>
          <w:i/>
          <w:iCs/>
          <w:color w:val="000000"/>
          <w:sz w:val="18"/>
          <w:szCs w:val="18"/>
          <w:lang w:eastAsia="es-CO"/>
        </w:rPr>
        <w:t>[…]” </w:t>
      </w:r>
      <w:r w:rsidRPr="00D2718B">
        <w:rPr>
          <w:rFonts w:ascii="Segoe UI" w:eastAsia="Times New Roman" w:hAnsi="Segoe UI" w:cs="Segoe UI"/>
          <w:color w:val="000000"/>
          <w:sz w:val="18"/>
          <w:szCs w:val="18"/>
          <w:lang w:eastAsia="es-CO"/>
        </w:rPr>
        <w:t>(Subraya fuera del texto)</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Así, en los contratos de construcción de inmuebles y obras civiles que celebren los arquitectos o ingenieros contratistas </w:t>
      </w:r>
      <w:r w:rsidRPr="00D2718B">
        <w:rPr>
          <w:rFonts w:ascii="Segoe UI" w:eastAsia="Times New Roman" w:hAnsi="Segoe UI" w:cs="Segoe UI"/>
          <w:b/>
          <w:bCs/>
          <w:color w:val="000000"/>
          <w:sz w:val="18"/>
          <w:szCs w:val="18"/>
          <w:lang w:eastAsia="es-CO"/>
        </w:rPr>
        <w:t>pueden llevar como costo el 90% del ingreso, </w:t>
      </w:r>
      <w:r w:rsidRPr="00D2718B">
        <w:rPr>
          <w:rFonts w:ascii="Segoe UI" w:eastAsia="Times New Roman" w:hAnsi="Segoe UI" w:cs="Segoe UI"/>
          <w:color w:val="000000"/>
          <w:sz w:val="18"/>
          <w:szCs w:val="18"/>
          <w:lang w:eastAsia="es-CO"/>
        </w:rPr>
        <w:t>siempre y cuando lleven libros de contabilidad.</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Sin embargo, el actor no allegó los libros de contabilidad debidamente registrados, motivo por el cual no tenía derecho al reconocimiento como costo del 90% de los ingresos percibidos en la vigencia fiscal investigada, como lo establece el inciso 2 del </w:t>
      </w:r>
      <w:hyperlink r:id="rId45" w:tooltip="Estatuto Tributario CETA" w:history="1">
        <w:r w:rsidRPr="00D2718B">
          <w:rPr>
            <w:rFonts w:ascii="Segoe UI" w:eastAsia="Times New Roman" w:hAnsi="Segoe UI" w:cs="Segoe UI"/>
            <w:color w:val="0089E1"/>
            <w:sz w:val="18"/>
            <w:szCs w:val="18"/>
            <w:lang w:eastAsia="es-CO"/>
          </w:rPr>
          <w:t>artículo 87</w:t>
        </w:r>
      </w:hyperlink>
      <w:r w:rsidRPr="00D2718B">
        <w:rPr>
          <w:rFonts w:ascii="Segoe UI" w:eastAsia="Times New Roman" w:hAnsi="Segoe UI" w:cs="Segoe UI"/>
          <w:color w:val="000000"/>
          <w:sz w:val="18"/>
          <w:szCs w:val="18"/>
          <w:lang w:eastAsia="es-CO"/>
        </w:rPr>
        <w:t> del E.T.</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En cuanto a la aptitud de la sentencia citada en la providencia apelada sobre los eventos en los que procede la estimación de los costos en los términos del </w:t>
      </w:r>
      <w:hyperlink r:id="rId46" w:tooltip="Estatuto Tributario CETA" w:history="1">
        <w:r w:rsidRPr="00D2718B">
          <w:rPr>
            <w:rFonts w:ascii="Segoe UI" w:eastAsia="Times New Roman" w:hAnsi="Segoe UI" w:cs="Segoe UI"/>
            <w:color w:val="0089E1"/>
            <w:sz w:val="18"/>
            <w:szCs w:val="18"/>
            <w:lang w:eastAsia="es-CO"/>
          </w:rPr>
          <w:t>artículo 82</w:t>
        </w:r>
      </w:hyperlink>
      <w:r w:rsidRPr="00D2718B">
        <w:rPr>
          <w:rFonts w:ascii="Segoe UI" w:eastAsia="Times New Roman" w:hAnsi="Segoe UI" w:cs="Segoe UI"/>
          <w:color w:val="000000"/>
          <w:sz w:val="18"/>
          <w:szCs w:val="18"/>
          <w:lang w:eastAsia="es-CO"/>
        </w:rPr>
        <w:t> del E.T, la Sala considera que como en este caso no se aplica el </w:t>
      </w:r>
      <w:hyperlink r:id="rId47" w:tooltip="Estatuto Tributario CETA" w:history="1">
        <w:r w:rsidRPr="00D2718B">
          <w:rPr>
            <w:rFonts w:ascii="Segoe UI" w:eastAsia="Times New Roman" w:hAnsi="Segoe UI" w:cs="Segoe UI"/>
            <w:color w:val="0089E1"/>
            <w:sz w:val="18"/>
            <w:szCs w:val="18"/>
            <w:lang w:eastAsia="es-CO"/>
          </w:rPr>
          <w:t>artículo 82</w:t>
        </w:r>
      </w:hyperlink>
      <w:r w:rsidRPr="00D2718B">
        <w:rPr>
          <w:rFonts w:ascii="Segoe UI" w:eastAsia="Times New Roman" w:hAnsi="Segoe UI" w:cs="Segoe UI"/>
          <w:color w:val="000000"/>
          <w:sz w:val="18"/>
          <w:szCs w:val="18"/>
          <w:lang w:eastAsia="es-CO"/>
        </w:rPr>
        <w:t> del E.T es indiferente el alcance de la sentencia de la Sala en relación con dicha norma</w:t>
      </w:r>
      <w:bookmarkStart w:id="42" w:name="_ftnref43"/>
      <w:r w:rsidRPr="00D2718B">
        <w:rPr>
          <w:rFonts w:ascii="Segoe UI" w:eastAsia="Times New Roman" w:hAnsi="Segoe UI" w:cs="Segoe UI"/>
          <w:color w:val="000000"/>
          <w:sz w:val="18"/>
          <w:szCs w:val="18"/>
          <w:lang w:eastAsia="es-CO"/>
        </w:rPr>
        <w:fldChar w:fldCharType="begin"/>
      </w:r>
      <w:r w:rsidRPr="00D2718B">
        <w:rPr>
          <w:rFonts w:ascii="Segoe UI" w:eastAsia="Times New Roman" w:hAnsi="Segoe UI" w:cs="Segoe UI"/>
          <w:color w:val="000000"/>
          <w:sz w:val="18"/>
          <w:szCs w:val="18"/>
          <w:lang w:eastAsia="es-CO"/>
        </w:rPr>
        <w:instrText xml:space="preserve"> HYPERLINK "http://www.ceta.org.co/html/vista_de_un_documento.asp?DocumentoID=28851" \l "_ftn43" \o "" </w:instrText>
      </w:r>
      <w:r w:rsidRPr="00D2718B">
        <w:rPr>
          <w:rFonts w:ascii="Segoe UI" w:eastAsia="Times New Roman" w:hAnsi="Segoe UI" w:cs="Segoe UI"/>
          <w:color w:val="000000"/>
          <w:sz w:val="18"/>
          <w:szCs w:val="18"/>
          <w:lang w:eastAsia="es-CO"/>
        </w:rPr>
        <w:fldChar w:fldCharType="separate"/>
      </w:r>
      <w:r w:rsidRPr="00D2718B">
        <w:rPr>
          <w:rFonts w:ascii="Segoe UI" w:eastAsia="Times New Roman" w:hAnsi="Segoe UI" w:cs="Segoe UI"/>
          <w:color w:val="0089E1"/>
          <w:sz w:val="22"/>
          <w:lang w:eastAsia="es-CO"/>
        </w:rPr>
        <w:t>[43]</w:t>
      </w:r>
      <w:r w:rsidRPr="00D2718B">
        <w:rPr>
          <w:rFonts w:ascii="Segoe UI" w:eastAsia="Times New Roman" w:hAnsi="Segoe UI" w:cs="Segoe UI"/>
          <w:color w:val="000000"/>
          <w:sz w:val="18"/>
          <w:szCs w:val="18"/>
          <w:lang w:eastAsia="es-CO"/>
        </w:rPr>
        <w:fldChar w:fldCharType="end"/>
      </w:r>
      <w:bookmarkEnd w:id="42"/>
      <w:r w:rsidRPr="00D2718B">
        <w:rPr>
          <w:rFonts w:ascii="Segoe UI" w:eastAsia="Times New Roman" w:hAnsi="Segoe UI" w:cs="Segoe UI"/>
          <w:color w:val="000000"/>
          <w:sz w:val="18"/>
          <w:szCs w:val="18"/>
          <w:lang w:eastAsia="es-CO"/>
        </w:rPr>
        <w:t>.</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A su vez, como en este asunto no es aplicable el </w:t>
      </w:r>
      <w:hyperlink r:id="rId48" w:tooltip="Estatuto Tributario CETA" w:history="1">
        <w:r w:rsidRPr="00D2718B">
          <w:rPr>
            <w:rFonts w:ascii="Segoe UI" w:eastAsia="Times New Roman" w:hAnsi="Segoe UI" w:cs="Segoe UI"/>
            <w:color w:val="0089E1"/>
            <w:sz w:val="18"/>
            <w:szCs w:val="18"/>
            <w:lang w:eastAsia="es-CO"/>
          </w:rPr>
          <w:t>artículo 82</w:t>
        </w:r>
      </w:hyperlink>
      <w:r w:rsidRPr="00D2718B">
        <w:rPr>
          <w:rFonts w:ascii="Segoe UI" w:eastAsia="Times New Roman" w:hAnsi="Segoe UI" w:cs="Segoe UI"/>
          <w:color w:val="000000"/>
          <w:sz w:val="18"/>
          <w:szCs w:val="18"/>
          <w:lang w:eastAsia="es-CO"/>
        </w:rPr>
        <w:t> inciso 3 del E.T, porque no se discute el costo de activos enajenados, no es procedente analizar si existen o no indicios de que los pagos fueron inexistentes, como lo prevé dicha norma.</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Por último, el recurrente alegó que la DIAN se contradijo porque en la liquidación oficial de revisión advirtió que no se daban los supuestos del </w:t>
      </w:r>
      <w:hyperlink r:id="rId49" w:tooltip="Estatuto Tributario CETA" w:history="1">
        <w:r w:rsidRPr="00D2718B">
          <w:rPr>
            <w:rFonts w:ascii="Segoe UI" w:eastAsia="Times New Roman" w:hAnsi="Segoe UI" w:cs="Segoe UI"/>
            <w:color w:val="0089E1"/>
            <w:sz w:val="18"/>
            <w:szCs w:val="18"/>
            <w:lang w:eastAsia="es-CO"/>
          </w:rPr>
          <w:t>artículo 647</w:t>
        </w:r>
      </w:hyperlink>
      <w:r w:rsidRPr="00D2718B">
        <w:rPr>
          <w:rFonts w:ascii="Segoe UI" w:eastAsia="Times New Roman" w:hAnsi="Segoe UI" w:cs="Segoe UI"/>
          <w:color w:val="000000"/>
          <w:sz w:val="18"/>
          <w:szCs w:val="18"/>
          <w:lang w:eastAsia="es-CO"/>
        </w:rPr>
        <w:t> del E.T. para aplicar la sanción por inexactitud. Ello, por cuanto sostuvo que la desestimación de los costos obedeció al incumplimiento de requisitos legales, no obstante este análisis, impuso la sanción.</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Sobre el particular, cabe recordar que la DIAN solo impuso la sanción respecto a la adición de ingresos</w:t>
      </w:r>
      <w:bookmarkStart w:id="43" w:name="_ftnref44"/>
      <w:r w:rsidRPr="00D2718B">
        <w:rPr>
          <w:rFonts w:ascii="Segoe UI" w:eastAsia="Times New Roman" w:hAnsi="Segoe UI" w:cs="Segoe UI"/>
          <w:color w:val="000000"/>
          <w:sz w:val="18"/>
          <w:szCs w:val="18"/>
          <w:lang w:eastAsia="es-CO"/>
        </w:rPr>
        <w:fldChar w:fldCharType="begin"/>
      </w:r>
      <w:r w:rsidRPr="00D2718B">
        <w:rPr>
          <w:rFonts w:ascii="Segoe UI" w:eastAsia="Times New Roman" w:hAnsi="Segoe UI" w:cs="Segoe UI"/>
          <w:color w:val="000000"/>
          <w:sz w:val="18"/>
          <w:szCs w:val="18"/>
          <w:lang w:eastAsia="es-CO"/>
        </w:rPr>
        <w:instrText xml:space="preserve"> HYPERLINK "http://www.ceta.org.co/html/vista_de_un_documento.asp?DocumentoID=28851" \l "_ftn44" \o "" </w:instrText>
      </w:r>
      <w:r w:rsidRPr="00D2718B">
        <w:rPr>
          <w:rFonts w:ascii="Segoe UI" w:eastAsia="Times New Roman" w:hAnsi="Segoe UI" w:cs="Segoe UI"/>
          <w:color w:val="000000"/>
          <w:sz w:val="18"/>
          <w:szCs w:val="18"/>
          <w:lang w:eastAsia="es-CO"/>
        </w:rPr>
        <w:fldChar w:fldCharType="separate"/>
      </w:r>
      <w:r w:rsidRPr="00D2718B">
        <w:rPr>
          <w:rFonts w:ascii="Segoe UI" w:eastAsia="Times New Roman" w:hAnsi="Segoe UI" w:cs="Segoe UI"/>
          <w:color w:val="0089E1"/>
          <w:sz w:val="22"/>
          <w:lang w:eastAsia="es-CO"/>
        </w:rPr>
        <w:t>[44]</w:t>
      </w:r>
      <w:r w:rsidRPr="00D2718B">
        <w:rPr>
          <w:rFonts w:ascii="Segoe UI" w:eastAsia="Times New Roman" w:hAnsi="Segoe UI" w:cs="Segoe UI"/>
          <w:color w:val="000000"/>
          <w:sz w:val="18"/>
          <w:szCs w:val="18"/>
          <w:lang w:eastAsia="es-CO"/>
        </w:rPr>
        <w:fldChar w:fldCharType="end"/>
      </w:r>
      <w:bookmarkEnd w:id="43"/>
      <w:r w:rsidRPr="00D2718B">
        <w:rPr>
          <w:rFonts w:ascii="Segoe UI" w:eastAsia="Times New Roman" w:hAnsi="Segoe UI" w:cs="Segoe UI"/>
          <w:color w:val="000000"/>
          <w:sz w:val="18"/>
          <w:szCs w:val="18"/>
          <w:lang w:eastAsia="es-CO"/>
        </w:rPr>
        <w:t>, no frente al rechazo de costos, por lo que al imponer dicha sanción no se refirió al incumplimiento de los requisitos legales frente a los costos. En consecuencia, no existe ninguna contradicción en cuanto a la imposición de la referida sanción.</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Por lo analizado, la Sala confirma la sentencia de primera instancia pero por las razones expuestas en la parte motiva de esta providencia.</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Respecto a la condena en costas, el artículo 188 del C.P.A.C.A., dispone lo siguiente:</w:t>
      </w:r>
    </w:p>
    <w:p w:rsidR="00D2718B" w:rsidRPr="00D2718B" w:rsidRDefault="00D2718B" w:rsidP="00D2718B">
      <w:pPr>
        <w:spacing w:after="0" w:line="240" w:lineRule="auto"/>
        <w:ind w:left="284"/>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ind w:left="284"/>
        <w:jc w:val="both"/>
        <w:rPr>
          <w:rFonts w:ascii="Arial" w:eastAsia="Times New Roman" w:hAnsi="Arial" w:cs="Arial"/>
          <w:color w:val="000000"/>
          <w:sz w:val="18"/>
          <w:szCs w:val="18"/>
          <w:lang w:eastAsia="es-CO"/>
        </w:rPr>
      </w:pPr>
      <w:r w:rsidRPr="00D2718B">
        <w:rPr>
          <w:rFonts w:ascii="Segoe UI" w:eastAsia="Times New Roman" w:hAnsi="Segoe UI" w:cs="Segoe UI"/>
          <w:i/>
          <w:iCs/>
          <w:color w:val="000000"/>
          <w:sz w:val="18"/>
          <w:szCs w:val="18"/>
          <w:lang w:eastAsia="es-CO"/>
        </w:rPr>
        <w:t>“</w:t>
      </w:r>
      <w:r w:rsidRPr="00D2718B">
        <w:rPr>
          <w:rFonts w:ascii="Segoe UI" w:eastAsia="Times New Roman" w:hAnsi="Segoe UI" w:cs="Segoe UI"/>
          <w:b/>
          <w:bCs/>
          <w:i/>
          <w:iCs/>
          <w:color w:val="000000"/>
          <w:sz w:val="18"/>
          <w:szCs w:val="18"/>
          <w:lang w:eastAsia="es-CO"/>
        </w:rPr>
        <w:t>Condena en costas. </w:t>
      </w:r>
      <w:r w:rsidRPr="00D2718B">
        <w:rPr>
          <w:rFonts w:ascii="Segoe UI" w:eastAsia="Times New Roman" w:hAnsi="Segoe UI" w:cs="Segoe UI"/>
          <w:i/>
          <w:iCs/>
          <w:color w:val="000000"/>
          <w:sz w:val="18"/>
          <w:szCs w:val="18"/>
          <w:lang w:eastAsia="es-CO"/>
        </w:rPr>
        <w:t>Salvo en los procesos en que se ventile un interés público, la sentencia dispondrá sobre la condena en costas, cuya liquidación y ejecución se regirán por las normas del Código de Procedimiento Civil”.</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El artículo 365 del Código General del Proceso señala las reglas para la determinación de la condena en costas, así:</w:t>
      </w:r>
    </w:p>
    <w:p w:rsidR="00D2718B" w:rsidRPr="00D2718B" w:rsidRDefault="00D2718B" w:rsidP="00D2718B">
      <w:pPr>
        <w:spacing w:after="0" w:line="240" w:lineRule="auto"/>
        <w:ind w:left="284"/>
        <w:jc w:val="both"/>
        <w:rPr>
          <w:rFonts w:ascii="Arial" w:eastAsia="Times New Roman" w:hAnsi="Arial" w:cs="Arial"/>
          <w:color w:val="000000"/>
          <w:sz w:val="18"/>
          <w:szCs w:val="18"/>
          <w:lang w:eastAsia="es-CO"/>
        </w:rPr>
      </w:pPr>
      <w:r w:rsidRPr="00D2718B">
        <w:rPr>
          <w:rFonts w:ascii="Segoe UI" w:eastAsia="Times New Roman" w:hAnsi="Segoe UI" w:cs="Segoe UI"/>
          <w:i/>
          <w:iCs/>
          <w:color w:val="000000"/>
          <w:sz w:val="18"/>
          <w:szCs w:val="18"/>
          <w:lang w:eastAsia="es-CO"/>
        </w:rPr>
        <w:t> </w:t>
      </w:r>
    </w:p>
    <w:p w:rsidR="00D2718B" w:rsidRPr="00D2718B" w:rsidRDefault="00D2718B" w:rsidP="00D2718B">
      <w:pPr>
        <w:spacing w:after="0" w:line="240" w:lineRule="auto"/>
        <w:ind w:left="284"/>
        <w:jc w:val="both"/>
        <w:rPr>
          <w:rFonts w:ascii="Arial" w:eastAsia="Times New Roman" w:hAnsi="Arial" w:cs="Arial"/>
          <w:color w:val="000000"/>
          <w:sz w:val="18"/>
          <w:szCs w:val="18"/>
          <w:lang w:eastAsia="es-CO"/>
        </w:rPr>
      </w:pPr>
      <w:r w:rsidRPr="00D2718B">
        <w:rPr>
          <w:rFonts w:ascii="Segoe UI" w:eastAsia="Times New Roman" w:hAnsi="Segoe UI" w:cs="Segoe UI"/>
          <w:i/>
          <w:iCs/>
          <w:color w:val="000000"/>
          <w:sz w:val="18"/>
          <w:szCs w:val="18"/>
          <w:lang w:eastAsia="es-CO"/>
        </w:rPr>
        <w:t>“1. Se condenará en costas a la parte vencida en el proceso, o a quien se le resuelva desfavorablemente el recurso de apelación, casación, queja, súplica, anulación o revisión que haya propuesto. Además, en los casos especiales previstos en este código.</w:t>
      </w:r>
    </w:p>
    <w:p w:rsidR="00D2718B" w:rsidRPr="00D2718B" w:rsidRDefault="00D2718B" w:rsidP="00D2718B">
      <w:pPr>
        <w:spacing w:after="0" w:line="240" w:lineRule="auto"/>
        <w:ind w:left="284"/>
        <w:jc w:val="both"/>
        <w:rPr>
          <w:rFonts w:ascii="Arial" w:eastAsia="Times New Roman" w:hAnsi="Arial" w:cs="Arial"/>
          <w:color w:val="000000"/>
          <w:sz w:val="18"/>
          <w:szCs w:val="18"/>
          <w:lang w:eastAsia="es-CO"/>
        </w:rPr>
      </w:pPr>
      <w:r w:rsidRPr="00D2718B">
        <w:rPr>
          <w:rFonts w:ascii="Segoe UI" w:eastAsia="Times New Roman" w:hAnsi="Segoe UI" w:cs="Segoe UI"/>
          <w:i/>
          <w:iCs/>
          <w:color w:val="000000"/>
          <w:sz w:val="18"/>
          <w:szCs w:val="18"/>
          <w:lang w:eastAsia="es-CO"/>
        </w:rPr>
        <w:t> </w:t>
      </w:r>
    </w:p>
    <w:p w:rsidR="00D2718B" w:rsidRPr="00D2718B" w:rsidRDefault="00D2718B" w:rsidP="00D2718B">
      <w:pPr>
        <w:spacing w:after="0" w:line="240" w:lineRule="auto"/>
        <w:ind w:left="284"/>
        <w:jc w:val="both"/>
        <w:rPr>
          <w:rFonts w:ascii="Arial" w:eastAsia="Times New Roman" w:hAnsi="Arial" w:cs="Arial"/>
          <w:color w:val="000000"/>
          <w:sz w:val="18"/>
          <w:szCs w:val="18"/>
          <w:lang w:eastAsia="es-CO"/>
        </w:rPr>
      </w:pPr>
      <w:r w:rsidRPr="00D2718B">
        <w:rPr>
          <w:rFonts w:ascii="Segoe UI" w:eastAsia="Times New Roman" w:hAnsi="Segoe UI" w:cs="Segoe UI"/>
          <w:i/>
          <w:iCs/>
          <w:color w:val="000000"/>
          <w:sz w:val="18"/>
          <w:szCs w:val="18"/>
          <w:lang w:eastAsia="es-CO"/>
        </w:rPr>
        <w:t>“Además se condenará en costas a quien se le resuelva de manera desfavorable un incidente, la formulación de excepciones previas, una solicitud de nulidad o de amparo de pobreza, sin perjuicio de lo dispuesto en relación con la temeridad o mala fe.</w:t>
      </w:r>
    </w:p>
    <w:p w:rsidR="00D2718B" w:rsidRPr="00D2718B" w:rsidRDefault="00D2718B" w:rsidP="00D2718B">
      <w:pPr>
        <w:spacing w:after="0" w:line="240" w:lineRule="auto"/>
        <w:ind w:left="284"/>
        <w:jc w:val="both"/>
        <w:rPr>
          <w:rFonts w:ascii="Arial" w:eastAsia="Times New Roman" w:hAnsi="Arial" w:cs="Arial"/>
          <w:color w:val="000000"/>
          <w:sz w:val="18"/>
          <w:szCs w:val="18"/>
          <w:lang w:eastAsia="es-CO"/>
        </w:rPr>
      </w:pPr>
      <w:r w:rsidRPr="00D2718B">
        <w:rPr>
          <w:rFonts w:ascii="Segoe UI" w:eastAsia="Times New Roman" w:hAnsi="Segoe UI" w:cs="Segoe UI"/>
          <w:i/>
          <w:iCs/>
          <w:color w:val="000000"/>
          <w:sz w:val="18"/>
          <w:szCs w:val="18"/>
          <w:lang w:eastAsia="es-CO"/>
        </w:rPr>
        <w:t> </w:t>
      </w:r>
    </w:p>
    <w:p w:rsidR="00D2718B" w:rsidRPr="00D2718B" w:rsidRDefault="00D2718B" w:rsidP="00D2718B">
      <w:pPr>
        <w:spacing w:after="0" w:line="240" w:lineRule="auto"/>
        <w:ind w:left="284"/>
        <w:jc w:val="both"/>
        <w:rPr>
          <w:rFonts w:ascii="Arial" w:eastAsia="Times New Roman" w:hAnsi="Arial" w:cs="Arial"/>
          <w:color w:val="000000"/>
          <w:sz w:val="18"/>
          <w:szCs w:val="18"/>
          <w:lang w:eastAsia="es-CO"/>
        </w:rPr>
      </w:pPr>
      <w:r w:rsidRPr="00D2718B">
        <w:rPr>
          <w:rFonts w:ascii="Segoe UI" w:eastAsia="Times New Roman" w:hAnsi="Segoe UI" w:cs="Segoe UI"/>
          <w:i/>
          <w:iCs/>
          <w:color w:val="000000"/>
          <w:sz w:val="18"/>
          <w:szCs w:val="18"/>
          <w:lang w:eastAsia="es-CO"/>
        </w:rPr>
        <w:t>“2. La condena se hará en sentencia o auto que resuelva la actuación que dio lugar a aquella.</w:t>
      </w:r>
    </w:p>
    <w:p w:rsidR="00D2718B" w:rsidRPr="00D2718B" w:rsidRDefault="00D2718B" w:rsidP="00D2718B">
      <w:pPr>
        <w:spacing w:after="0" w:line="240" w:lineRule="auto"/>
        <w:ind w:left="284"/>
        <w:jc w:val="both"/>
        <w:rPr>
          <w:rFonts w:ascii="Arial" w:eastAsia="Times New Roman" w:hAnsi="Arial" w:cs="Arial"/>
          <w:color w:val="000000"/>
          <w:sz w:val="18"/>
          <w:szCs w:val="18"/>
          <w:lang w:eastAsia="es-CO"/>
        </w:rPr>
      </w:pPr>
      <w:r w:rsidRPr="00D2718B">
        <w:rPr>
          <w:rFonts w:ascii="Segoe UI" w:eastAsia="Times New Roman" w:hAnsi="Segoe UI" w:cs="Segoe UI"/>
          <w:i/>
          <w:iCs/>
          <w:color w:val="000000"/>
          <w:sz w:val="18"/>
          <w:szCs w:val="18"/>
          <w:lang w:eastAsia="es-CO"/>
        </w:rPr>
        <w:t>“3. </w:t>
      </w:r>
      <w:r w:rsidRPr="00D2718B">
        <w:rPr>
          <w:rFonts w:ascii="Segoe UI" w:eastAsia="Times New Roman" w:hAnsi="Segoe UI" w:cs="Segoe UI"/>
          <w:b/>
          <w:bCs/>
          <w:i/>
          <w:iCs/>
          <w:color w:val="000000"/>
          <w:sz w:val="18"/>
          <w:szCs w:val="18"/>
          <w:lang w:eastAsia="es-CO"/>
        </w:rPr>
        <w:t>En la providencia del superior que confirme en todas sus partes la de primera instancia se condenará al recurrente en las costas de la segunda.</w:t>
      </w:r>
    </w:p>
    <w:p w:rsidR="00D2718B" w:rsidRPr="00D2718B" w:rsidRDefault="00D2718B" w:rsidP="00D2718B">
      <w:pPr>
        <w:spacing w:after="0" w:line="240" w:lineRule="auto"/>
        <w:ind w:left="284"/>
        <w:jc w:val="both"/>
        <w:rPr>
          <w:rFonts w:ascii="Arial" w:eastAsia="Times New Roman" w:hAnsi="Arial" w:cs="Arial"/>
          <w:color w:val="000000"/>
          <w:sz w:val="18"/>
          <w:szCs w:val="18"/>
          <w:lang w:eastAsia="es-CO"/>
        </w:rPr>
      </w:pPr>
      <w:r w:rsidRPr="00D2718B">
        <w:rPr>
          <w:rFonts w:ascii="Segoe UI" w:eastAsia="Times New Roman" w:hAnsi="Segoe UI" w:cs="Segoe UI"/>
          <w:i/>
          <w:iCs/>
          <w:color w:val="000000"/>
          <w:sz w:val="18"/>
          <w:szCs w:val="18"/>
          <w:lang w:eastAsia="es-CO"/>
        </w:rPr>
        <w:t>“4. Cuando la sentencia de segunda instancia revoque totalmente la del inferior, la parte vencida será condenada a pagar las costas de ambas instancias.</w:t>
      </w:r>
    </w:p>
    <w:p w:rsidR="00D2718B" w:rsidRPr="00D2718B" w:rsidRDefault="00D2718B" w:rsidP="00D2718B">
      <w:pPr>
        <w:spacing w:after="0" w:line="240" w:lineRule="auto"/>
        <w:ind w:left="284"/>
        <w:jc w:val="both"/>
        <w:rPr>
          <w:rFonts w:ascii="Arial" w:eastAsia="Times New Roman" w:hAnsi="Arial" w:cs="Arial"/>
          <w:color w:val="000000"/>
          <w:sz w:val="18"/>
          <w:szCs w:val="18"/>
          <w:lang w:eastAsia="es-CO"/>
        </w:rPr>
      </w:pPr>
      <w:r w:rsidRPr="00D2718B">
        <w:rPr>
          <w:rFonts w:ascii="Segoe UI" w:eastAsia="Times New Roman" w:hAnsi="Segoe UI" w:cs="Segoe UI"/>
          <w:i/>
          <w:iCs/>
          <w:color w:val="000000"/>
          <w:sz w:val="18"/>
          <w:szCs w:val="18"/>
          <w:lang w:eastAsia="es-CO"/>
        </w:rPr>
        <w:t>“5. En caso de que prospere parcialmente la demanda, el juez podrá abstenerse de condenar en costas o pronunciar condena parcial, expresando los fundamentos de su decisión.</w:t>
      </w:r>
    </w:p>
    <w:p w:rsidR="00D2718B" w:rsidRPr="00D2718B" w:rsidRDefault="00D2718B" w:rsidP="00D2718B">
      <w:pPr>
        <w:spacing w:after="0" w:line="240" w:lineRule="auto"/>
        <w:ind w:left="284"/>
        <w:jc w:val="both"/>
        <w:rPr>
          <w:rFonts w:ascii="Arial" w:eastAsia="Times New Roman" w:hAnsi="Arial" w:cs="Arial"/>
          <w:color w:val="000000"/>
          <w:sz w:val="18"/>
          <w:szCs w:val="18"/>
          <w:lang w:eastAsia="es-CO"/>
        </w:rPr>
      </w:pPr>
      <w:r w:rsidRPr="00D2718B">
        <w:rPr>
          <w:rFonts w:ascii="Segoe UI" w:eastAsia="Times New Roman" w:hAnsi="Segoe UI" w:cs="Segoe UI"/>
          <w:i/>
          <w:iCs/>
          <w:color w:val="000000"/>
          <w:sz w:val="18"/>
          <w:szCs w:val="18"/>
          <w:lang w:eastAsia="es-CO"/>
        </w:rPr>
        <w:t>“6. Cuando fueren dos (2) o más litigantes que deban pagar las costas, el juez los condenará en proporción a su interés en el proceso; si nada se dispone al respecto, se entenderán distribuidas por partes iguales entre ellos.</w:t>
      </w:r>
    </w:p>
    <w:p w:rsidR="00D2718B" w:rsidRPr="00D2718B" w:rsidRDefault="00D2718B" w:rsidP="00D2718B">
      <w:pPr>
        <w:spacing w:after="0" w:line="240" w:lineRule="auto"/>
        <w:ind w:left="284"/>
        <w:jc w:val="both"/>
        <w:rPr>
          <w:rFonts w:ascii="Arial" w:eastAsia="Times New Roman" w:hAnsi="Arial" w:cs="Arial"/>
          <w:color w:val="000000"/>
          <w:sz w:val="18"/>
          <w:szCs w:val="18"/>
          <w:lang w:eastAsia="es-CO"/>
        </w:rPr>
      </w:pPr>
      <w:r w:rsidRPr="00D2718B">
        <w:rPr>
          <w:rFonts w:ascii="Segoe UI" w:eastAsia="Times New Roman" w:hAnsi="Segoe UI" w:cs="Segoe UI"/>
          <w:i/>
          <w:iCs/>
          <w:color w:val="000000"/>
          <w:sz w:val="18"/>
          <w:szCs w:val="18"/>
          <w:lang w:eastAsia="es-CO"/>
        </w:rPr>
        <w:t>“7. Si fueren varios los litigantes favorecidos con la condena en costas, a cada uno de ellos se les reconocerán los gastos que hubiere sufragado y se harán por separado las liquidaciones.</w:t>
      </w:r>
    </w:p>
    <w:p w:rsidR="00D2718B" w:rsidRPr="00D2718B" w:rsidRDefault="00D2718B" w:rsidP="00D2718B">
      <w:pPr>
        <w:spacing w:after="0" w:line="240" w:lineRule="auto"/>
        <w:ind w:left="284"/>
        <w:jc w:val="both"/>
        <w:rPr>
          <w:rFonts w:ascii="Arial" w:eastAsia="Times New Roman" w:hAnsi="Arial" w:cs="Arial"/>
          <w:color w:val="000000"/>
          <w:sz w:val="18"/>
          <w:szCs w:val="18"/>
          <w:lang w:eastAsia="es-CO"/>
        </w:rPr>
      </w:pPr>
      <w:r w:rsidRPr="00D2718B">
        <w:rPr>
          <w:rFonts w:ascii="Segoe UI" w:eastAsia="Times New Roman" w:hAnsi="Segoe UI" w:cs="Segoe UI"/>
          <w:b/>
          <w:bCs/>
          <w:i/>
          <w:iCs/>
          <w:color w:val="000000"/>
          <w:sz w:val="18"/>
          <w:szCs w:val="18"/>
          <w:lang w:eastAsia="es-CO"/>
        </w:rPr>
        <w:t>“8. Solo habrá lugar a costas cuando en el expediente aparezca que se causaron y en la medida de su comprobación.</w:t>
      </w:r>
    </w:p>
    <w:p w:rsidR="00D2718B" w:rsidRPr="00D2718B" w:rsidRDefault="00D2718B" w:rsidP="00D2718B">
      <w:pPr>
        <w:spacing w:after="0" w:line="240" w:lineRule="auto"/>
        <w:ind w:left="284"/>
        <w:jc w:val="both"/>
        <w:rPr>
          <w:rFonts w:ascii="Arial" w:eastAsia="Times New Roman" w:hAnsi="Arial" w:cs="Arial"/>
          <w:color w:val="000000"/>
          <w:sz w:val="18"/>
          <w:szCs w:val="18"/>
          <w:lang w:eastAsia="es-CO"/>
        </w:rPr>
      </w:pPr>
      <w:r w:rsidRPr="00D2718B">
        <w:rPr>
          <w:rFonts w:ascii="Segoe UI" w:eastAsia="Times New Roman" w:hAnsi="Segoe UI" w:cs="Segoe UI"/>
          <w:i/>
          <w:iCs/>
          <w:color w:val="000000"/>
          <w:sz w:val="18"/>
          <w:szCs w:val="18"/>
          <w:lang w:eastAsia="es-CO"/>
        </w:rPr>
        <w:lastRenderedPageBreak/>
        <w:t>“9. Las estipulaciones de las partes en materia de costas se tendrán por no escritas. Sin embargo podrán renunciarse después de decretadas y en los casos de desistimiento o transacción.”</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En este caso, nos hallamos ante el evento descrito en el numeral 3 del artículo 365 del C.G.P. Sin embargo, como lo ha precisado la Sala esta circunstancia debe analizarse en conjunto con la regla del numeral 8, que dispone que </w:t>
      </w:r>
      <w:r w:rsidRPr="00D2718B">
        <w:rPr>
          <w:rFonts w:ascii="Segoe UI" w:eastAsia="Times New Roman" w:hAnsi="Segoe UI" w:cs="Segoe UI"/>
          <w:i/>
          <w:iCs/>
          <w:color w:val="000000"/>
          <w:sz w:val="18"/>
          <w:szCs w:val="18"/>
          <w:lang w:eastAsia="es-CO"/>
        </w:rPr>
        <w:t>“</w:t>
      </w:r>
      <w:r w:rsidRPr="00D2718B">
        <w:rPr>
          <w:rFonts w:ascii="Segoe UI" w:eastAsia="Times New Roman" w:hAnsi="Segoe UI" w:cs="Segoe UI"/>
          <w:b/>
          <w:bCs/>
          <w:i/>
          <w:iCs/>
          <w:color w:val="000000"/>
          <w:sz w:val="18"/>
          <w:szCs w:val="18"/>
          <w:lang w:eastAsia="es-CO"/>
        </w:rPr>
        <w:t>Solo habrá lugar a costas cuando en el expediente aparezca que se causaron y en la medida de su comprobación”</w:t>
      </w:r>
      <w:bookmarkStart w:id="44" w:name="_ftnref45"/>
      <w:r w:rsidRPr="00D2718B">
        <w:rPr>
          <w:rFonts w:ascii="Segoe UI" w:eastAsia="Times New Roman" w:hAnsi="Segoe UI" w:cs="Segoe UI"/>
          <w:b/>
          <w:bCs/>
          <w:i/>
          <w:iCs/>
          <w:color w:val="000000"/>
          <w:sz w:val="18"/>
          <w:szCs w:val="18"/>
          <w:lang w:eastAsia="es-CO"/>
        </w:rPr>
        <w:fldChar w:fldCharType="begin"/>
      </w:r>
      <w:r w:rsidRPr="00D2718B">
        <w:rPr>
          <w:rFonts w:ascii="Segoe UI" w:eastAsia="Times New Roman" w:hAnsi="Segoe UI" w:cs="Segoe UI"/>
          <w:b/>
          <w:bCs/>
          <w:i/>
          <w:iCs/>
          <w:color w:val="000000"/>
          <w:sz w:val="18"/>
          <w:szCs w:val="18"/>
          <w:lang w:eastAsia="es-CO"/>
        </w:rPr>
        <w:instrText xml:space="preserve"> HYPERLINK "http://www.ceta.org.co/html/vista_de_un_documento.asp?DocumentoID=28851" \l "_ftn45" \o "" </w:instrText>
      </w:r>
      <w:r w:rsidRPr="00D2718B">
        <w:rPr>
          <w:rFonts w:ascii="Segoe UI" w:eastAsia="Times New Roman" w:hAnsi="Segoe UI" w:cs="Segoe UI"/>
          <w:b/>
          <w:bCs/>
          <w:i/>
          <w:iCs/>
          <w:color w:val="000000"/>
          <w:sz w:val="18"/>
          <w:szCs w:val="18"/>
          <w:lang w:eastAsia="es-CO"/>
        </w:rPr>
        <w:fldChar w:fldCharType="separate"/>
      </w:r>
      <w:r w:rsidRPr="00D2718B">
        <w:rPr>
          <w:rFonts w:ascii="Segoe UI" w:eastAsia="Times New Roman" w:hAnsi="Segoe UI" w:cs="Segoe UI"/>
          <w:b/>
          <w:bCs/>
          <w:i/>
          <w:iCs/>
          <w:color w:val="0089E1"/>
          <w:sz w:val="22"/>
          <w:lang w:eastAsia="es-CO"/>
        </w:rPr>
        <w:t>[45]</w:t>
      </w:r>
      <w:r w:rsidRPr="00D2718B">
        <w:rPr>
          <w:rFonts w:ascii="Segoe UI" w:eastAsia="Times New Roman" w:hAnsi="Segoe UI" w:cs="Segoe UI"/>
          <w:b/>
          <w:bCs/>
          <w:i/>
          <w:iCs/>
          <w:color w:val="000000"/>
          <w:sz w:val="18"/>
          <w:szCs w:val="18"/>
          <w:lang w:eastAsia="es-CO"/>
        </w:rPr>
        <w:fldChar w:fldCharType="end"/>
      </w:r>
      <w:bookmarkEnd w:id="44"/>
      <w:r w:rsidRPr="00D2718B">
        <w:rPr>
          <w:rFonts w:ascii="Segoe UI" w:eastAsia="Times New Roman" w:hAnsi="Segoe UI" w:cs="Segoe UI"/>
          <w:color w:val="000000"/>
          <w:sz w:val="18"/>
          <w:szCs w:val="18"/>
          <w:lang w:eastAsia="es-CO"/>
        </w:rPr>
        <w:t>.</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En esas condiciones, se advierte que, una vez revisado el expediente, no existen elementos de prueba que demuestren o justifiquen las erogaciones por concepto de costas o agencias en derecho. Por tanto, se revoca la condena en costas impuesta en primera instancia para, en su lugar, negarla.</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En mérito de lo expuesto, el Consejo de Estado, Sala de lo Contencioso Administrativo, Sección Cuarta, administrando justicia en nombre de la República y por autoridad de la ley,</w:t>
      </w:r>
    </w:p>
    <w:p w:rsidR="00D2718B" w:rsidRPr="00D2718B" w:rsidRDefault="00D2718B" w:rsidP="00D2718B">
      <w:pPr>
        <w:spacing w:after="0" w:line="240" w:lineRule="auto"/>
        <w:jc w:val="center"/>
        <w:rPr>
          <w:rFonts w:ascii="Arial" w:eastAsia="Times New Roman" w:hAnsi="Arial" w:cs="Arial"/>
          <w:color w:val="000000"/>
          <w:sz w:val="18"/>
          <w:szCs w:val="18"/>
          <w:lang w:eastAsia="es-CO"/>
        </w:rPr>
      </w:pPr>
      <w:r w:rsidRPr="00D2718B">
        <w:rPr>
          <w:rFonts w:ascii="Segoe UI" w:eastAsia="Times New Roman" w:hAnsi="Segoe UI" w:cs="Segoe UI"/>
          <w:b/>
          <w:bCs/>
          <w:color w:val="000000"/>
          <w:sz w:val="18"/>
          <w:szCs w:val="18"/>
          <w:lang w:eastAsia="es-CO"/>
        </w:rPr>
        <w:t> </w:t>
      </w:r>
    </w:p>
    <w:p w:rsidR="00D2718B" w:rsidRPr="00D2718B" w:rsidRDefault="00D2718B" w:rsidP="00D2718B">
      <w:pPr>
        <w:spacing w:after="0" w:line="240" w:lineRule="auto"/>
        <w:jc w:val="center"/>
        <w:rPr>
          <w:rFonts w:ascii="Arial" w:eastAsia="Times New Roman" w:hAnsi="Arial" w:cs="Arial"/>
          <w:color w:val="000000"/>
          <w:sz w:val="18"/>
          <w:szCs w:val="18"/>
          <w:lang w:eastAsia="es-CO"/>
        </w:rPr>
      </w:pPr>
      <w:r w:rsidRPr="00D2718B">
        <w:rPr>
          <w:rFonts w:ascii="Segoe UI" w:eastAsia="Times New Roman" w:hAnsi="Segoe UI" w:cs="Segoe UI"/>
          <w:b/>
          <w:bCs/>
          <w:color w:val="000000"/>
          <w:sz w:val="18"/>
          <w:szCs w:val="18"/>
          <w:lang w:eastAsia="es-CO"/>
        </w:rPr>
        <w:t xml:space="preserve">F A L </w:t>
      </w:r>
      <w:proofErr w:type="spellStart"/>
      <w:r w:rsidRPr="00D2718B">
        <w:rPr>
          <w:rFonts w:ascii="Segoe UI" w:eastAsia="Times New Roman" w:hAnsi="Segoe UI" w:cs="Segoe UI"/>
          <w:b/>
          <w:bCs/>
          <w:color w:val="000000"/>
          <w:sz w:val="18"/>
          <w:szCs w:val="18"/>
          <w:lang w:eastAsia="es-CO"/>
        </w:rPr>
        <w:t>L</w:t>
      </w:r>
      <w:proofErr w:type="spellEnd"/>
      <w:r w:rsidRPr="00D2718B">
        <w:rPr>
          <w:rFonts w:ascii="Segoe UI" w:eastAsia="Times New Roman" w:hAnsi="Segoe UI" w:cs="Segoe UI"/>
          <w:b/>
          <w:bCs/>
          <w:color w:val="000000"/>
          <w:sz w:val="18"/>
          <w:szCs w:val="18"/>
          <w:lang w:eastAsia="es-CO"/>
        </w:rPr>
        <w:t xml:space="preserve"> A</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b/>
          <w:bCs/>
          <w:i/>
          <w:iCs/>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b/>
          <w:bCs/>
          <w:i/>
          <w:iCs/>
          <w:color w:val="000000"/>
          <w:sz w:val="18"/>
          <w:szCs w:val="18"/>
          <w:lang w:eastAsia="es-CO"/>
        </w:rPr>
        <w:t>CONFÍRMASE </w:t>
      </w:r>
      <w:r w:rsidRPr="00D2718B">
        <w:rPr>
          <w:rFonts w:ascii="Segoe UI" w:eastAsia="Times New Roman" w:hAnsi="Segoe UI" w:cs="Segoe UI"/>
          <w:color w:val="000000"/>
          <w:sz w:val="18"/>
          <w:szCs w:val="18"/>
          <w:lang w:eastAsia="es-CO"/>
        </w:rPr>
        <w:t>la sentencia apelada pero por las razones expuestas en la parte motiva de esta sentencia.</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b/>
          <w:bCs/>
          <w:i/>
          <w:iCs/>
          <w:color w:val="000000"/>
          <w:sz w:val="18"/>
          <w:szCs w:val="18"/>
          <w:lang w:eastAsia="es-CO"/>
        </w:rPr>
        <w:t>RECONÓCESE </w:t>
      </w:r>
      <w:r w:rsidRPr="00D2718B">
        <w:rPr>
          <w:rFonts w:ascii="Segoe UI" w:eastAsia="Times New Roman" w:hAnsi="Segoe UI" w:cs="Segoe UI"/>
          <w:color w:val="000000"/>
          <w:sz w:val="18"/>
          <w:szCs w:val="18"/>
          <w:lang w:eastAsia="es-CO"/>
        </w:rPr>
        <w:t>a Edwin Mauricio Torres Prieto como abogado de la DIAN, de conformidad con el poder que se encuentran en el folio 167 del cuaderno principal.</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No se condena en costas al demandante.</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b/>
          <w:bCs/>
          <w:color w:val="000000"/>
          <w:sz w:val="18"/>
          <w:szCs w:val="18"/>
          <w:lang w:eastAsia="es-CO"/>
        </w:rPr>
        <w:t>Cópiese, notifíquese, comuníquese, devuélvase el expediente al Tribunal de origen. Cúmplase.</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b/>
          <w:bCs/>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La anterior providencia fue discutida y aprobada en sesión de la fecha.</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b/>
          <w:bCs/>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b/>
          <w:bCs/>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b/>
          <w:bCs/>
          <w:color w:val="000000"/>
          <w:sz w:val="18"/>
          <w:szCs w:val="18"/>
          <w:lang w:eastAsia="es-CO"/>
        </w:rPr>
        <w:t>MARTHA TERESA BRICEÑO DE VALENCIA</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Presidente</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b/>
          <w:bCs/>
          <w:color w:val="000000"/>
          <w:sz w:val="18"/>
          <w:szCs w:val="18"/>
          <w:lang w:eastAsia="es-CO"/>
        </w:rPr>
        <w:t>HUGO FERNANDO BASTIDAS BÁRCENAS</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b/>
          <w:bCs/>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b/>
          <w:bCs/>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b/>
          <w:bCs/>
          <w:color w:val="000000"/>
          <w:sz w:val="18"/>
          <w:szCs w:val="18"/>
          <w:lang w:eastAsia="es-CO"/>
        </w:rPr>
        <w:t>CARMEN TERESA ORTIZ DE RODRÍGUEZ</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b/>
          <w:bCs/>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b/>
          <w:bCs/>
          <w:color w:val="000000"/>
          <w:sz w:val="18"/>
          <w:szCs w:val="18"/>
          <w:lang w:eastAsia="es-CO"/>
        </w:rPr>
        <w:t> </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b/>
          <w:bCs/>
          <w:color w:val="000000"/>
          <w:sz w:val="18"/>
          <w:szCs w:val="18"/>
          <w:lang w:eastAsia="es-CO"/>
        </w:rPr>
        <w:t xml:space="preserve">JORGE OCTAVIO RAMÍREZ </w:t>
      </w:r>
      <w:proofErr w:type="spellStart"/>
      <w:r w:rsidRPr="00D2718B">
        <w:rPr>
          <w:rFonts w:ascii="Segoe UI" w:eastAsia="Times New Roman" w:hAnsi="Segoe UI" w:cs="Segoe UI"/>
          <w:b/>
          <w:bCs/>
          <w:color w:val="000000"/>
          <w:sz w:val="18"/>
          <w:szCs w:val="18"/>
          <w:lang w:eastAsia="es-CO"/>
        </w:rPr>
        <w:t>RAMÍREZ</w:t>
      </w:r>
      <w:proofErr w:type="spellEnd"/>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Arial" w:eastAsia="Times New Roman" w:hAnsi="Arial" w:cs="Arial"/>
          <w:color w:val="000000"/>
          <w:sz w:val="18"/>
          <w:szCs w:val="18"/>
          <w:lang w:eastAsia="es-CO"/>
        </w:rPr>
        <w:br w:type="textWrapping" w:clear="all"/>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Arial" w:eastAsia="Times New Roman" w:hAnsi="Arial" w:cs="Arial"/>
          <w:color w:val="000000"/>
          <w:sz w:val="18"/>
          <w:szCs w:val="18"/>
          <w:lang w:eastAsia="es-CO"/>
        </w:rPr>
        <w:pict>
          <v:rect id="_x0000_i1025" style="width:145.85pt;height:.6pt" o:hrpct="330" o:hrstd="t" o:hr="t" fillcolor="#a0a0a0" stroked="f"/>
        </w:pict>
      </w:r>
    </w:p>
    <w:bookmarkStart w:id="45" w:name="_ftn1"/>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Arial" w:eastAsia="Times New Roman" w:hAnsi="Arial" w:cs="Arial"/>
          <w:color w:val="000000"/>
          <w:sz w:val="18"/>
          <w:szCs w:val="18"/>
          <w:lang w:eastAsia="es-CO"/>
        </w:rPr>
        <w:fldChar w:fldCharType="begin"/>
      </w:r>
      <w:r w:rsidRPr="00D2718B">
        <w:rPr>
          <w:rFonts w:ascii="Arial" w:eastAsia="Times New Roman" w:hAnsi="Arial" w:cs="Arial"/>
          <w:color w:val="000000"/>
          <w:sz w:val="18"/>
          <w:szCs w:val="18"/>
          <w:lang w:eastAsia="es-CO"/>
        </w:rPr>
        <w:instrText xml:space="preserve"> HYPERLINK "http://www.ceta.org.co/html/vista_de_un_documento.asp?DocumentoID=28851" \l "_ftnref1" \o "" </w:instrText>
      </w:r>
      <w:r w:rsidRPr="00D2718B">
        <w:rPr>
          <w:rFonts w:ascii="Arial" w:eastAsia="Times New Roman" w:hAnsi="Arial" w:cs="Arial"/>
          <w:color w:val="000000"/>
          <w:sz w:val="18"/>
          <w:szCs w:val="18"/>
          <w:lang w:eastAsia="es-CO"/>
        </w:rPr>
        <w:fldChar w:fldCharType="separate"/>
      </w:r>
      <w:r w:rsidRPr="00D2718B">
        <w:rPr>
          <w:rFonts w:ascii="Segoe UI" w:eastAsia="Times New Roman" w:hAnsi="Segoe UI" w:cs="Segoe UI"/>
          <w:color w:val="0089E1"/>
          <w:sz w:val="20"/>
          <w:szCs w:val="20"/>
          <w:lang w:eastAsia="es-CO"/>
        </w:rPr>
        <w:t>[1]</w:t>
      </w:r>
      <w:r w:rsidRPr="00D2718B">
        <w:rPr>
          <w:rFonts w:ascii="Arial" w:eastAsia="Times New Roman" w:hAnsi="Arial" w:cs="Arial"/>
          <w:color w:val="000000"/>
          <w:sz w:val="18"/>
          <w:szCs w:val="18"/>
          <w:lang w:eastAsia="es-CO"/>
        </w:rPr>
        <w:fldChar w:fldCharType="end"/>
      </w:r>
      <w:bookmarkEnd w:id="45"/>
      <w:r w:rsidRPr="00D2718B">
        <w:rPr>
          <w:rFonts w:ascii="Segoe UI" w:eastAsia="Times New Roman" w:hAnsi="Segoe UI" w:cs="Segoe UI"/>
          <w:color w:val="000000"/>
          <w:sz w:val="20"/>
          <w:szCs w:val="20"/>
          <w:lang w:eastAsia="es-CO"/>
        </w:rPr>
        <w:t> Folio 11 c.a.1</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20"/>
          <w:szCs w:val="20"/>
          <w:lang w:eastAsia="es-CO"/>
        </w:rPr>
        <w:t> </w:t>
      </w:r>
    </w:p>
    <w:bookmarkStart w:id="46" w:name="_ftn2"/>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Arial" w:eastAsia="Times New Roman" w:hAnsi="Arial" w:cs="Arial"/>
          <w:color w:val="000000"/>
          <w:sz w:val="18"/>
          <w:szCs w:val="18"/>
          <w:lang w:eastAsia="es-CO"/>
        </w:rPr>
        <w:fldChar w:fldCharType="begin"/>
      </w:r>
      <w:r w:rsidRPr="00D2718B">
        <w:rPr>
          <w:rFonts w:ascii="Arial" w:eastAsia="Times New Roman" w:hAnsi="Arial" w:cs="Arial"/>
          <w:color w:val="000000"/>
          <w:sz w:val="18"/>
          <w:szCs w:val="18"/>
          <w:lang w:eastAsia="es-CO"/>
        </w:rPr>
        <w:instrText xml:space="preserve"> HYPERLINK "http://www.ceta.org.co/html/vista_de_un_documento.asp?DocumentoID=28851" \l "_ftnref2" \o "" </w:instrText>
      </w:r>
      <w:r w:rsidRPr="00D2718B">
        <w:rPr>
          <w:rFonts w:ascii="Arial" w:eastAsia="Times New Roman" w:hAnsi="Arial" w:cs="Arial"/>
          <w:color w:val="000000"/>
          <w:sz w:val="18"/>
          <w:szCs w:val="18"/>
          <w:lang w:eastAsia="es-CO"/>
        </w:rPr>
        <w:fldChar w:fldCharType="separate"/>
      </w:r>
      <w:r w:rsidRPr="00D2718B">
        <w:rPr>
          <w:rFonts w:ascii="Segoe UI" w:eastAsia="Times New Roman" w:hAnsi="Segoe UI" w:cs="Segoe UI"/>
          <w:color w:val="0089E1"/>
          <w:sz w:val="20"/>
          <w:szCs w:val="20"/>
          <w:lang w:eastAsia="es-CO"/>
        </w:rPr>
        <w:t>[2]</w:t>
      </w:r>
      <w:r w:rsidRPr="00D2718B">
        <w:rPr>
          <w:rFonts w:ascii="Arial" w:eastAsia="Times New Roman" w:hAnsi="Arial" w:cs="Arial"/>
          <w:color w:val="000000"/>
          <w:sz w:val="18"/>
          <w:szCs w:val="18"/>
          <w:lang w:eastAsia="es-CO"/>
        </w:rPr>
        <w:fldChar w:fldCharType="end"/>
      </w:r>
      <w:bookmarkEnd w:id="46"/>
      <w:r w:rsidRPr="00D2718B">
        <w:rPr>
          <w:rFonts w:ascii="Segoe UI" w:eastAsia="Times New Roman" w:hAnsi="Segoe UI" w:cs="Segoe UI"/>
          <w:color w:val="000000"/>
          <w:sz w:val="20"/>
          <w:szCs w:val="20"/>
          <w:lang w:eastAsia="es-CO"/>
        </w:rPr>
        <w:t> Folio 55 c.a.1</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20"/>
          <w:szCs w:val="20"/>
          <w:lang w:eastAsia="es-CO"/>
        </w:rPr>
        <w:t> </w:t>
      </w:r>
    </w:p>
    <w:bookmarkStart w:id="47" w:name="_ftn3"/>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Arial" w:eastAsia="Times New Roman" w:hAnsi="Arial" w:cs="Arial"/>
          <w:color w:val="000000"/>
          <w:sz w:val="18"/>
          <w:szCs w:val="18"/>
          <w:lang w:eastAsia="es-CO"/>
        </w:rPr>
        <w:fldChar w:fldCharType="begin"/>
      </w:r>
      <w:r w:rsidRPr="00D2718B">
        <w:rPr>
          <w:rFonts w:ascii="Arial" w:eastAsia="Times New Roman" w:hAnsi="Arial" w:cs="Arial"/>
          <w:color w:val="000000"/>
          <w:sz w:val="18"/>
          <w:szCs w:val="18"/>
          <w:lang w:eastAsia="es-CO"/>
        </w:rPr>
        <w:instrText xml:space="preserve"> HYPERLINK "http://www.ceta.org.co/html/vista_de_un_documento.asp?DocumentoID=28851" \l "_ftnref3" \o "" </w:instrText>
      </w:r>
      <w:r w:rsidRPr="00D2718B">
        <w:rPr>
          <w:rFonts w:ascii="Arial" w:eastAsia="Times New Roman" w:hAnsi="Arial" w:cs="Arial"/>
          <w:color w:val="000000"/>
          <w:sz w:val="18"/>
          <w:szCs w:val="18"/>
          <w:lang w:eastAsia="es-CO"/>
        </w:rPr>
        <w:fldChar w:fldCharType="separate"/>
      </w:r>
      <w:r w:rsidRPr="00D2718B">
        <w:rPr>
          <w:rFonts w:ascii="Segoe UI" w:eastAsia="Times New Roman" w:hAnsi="Segoe UI" w:cs="Segoe UI"/>
          <w:color w:val="0089E1"/>
          <w:sz w:val="20"/>
          <w:szCs w:val="20"/>
          <w:lang w:eastAsia="es-CO"/>
        </w:rPr>
        <w:t>[3]</w:t>
      </w:r>
      <w:r w:rsidRPr="00D2718B">
        <w:rPr>
          <w:rFonts w:ascii="Arial" w:eastAsia="Times New Roman" w:hAnsi="Arial" w:cs="Arial"/>
          <w:color w:val="000000"/>
          <w:sz w:val="18"/>
          <w:szCs w:val="18"/>
          <w:lang w:eastAsia="es-CO"/>
        </w:rPr>
        <w:fldChar w:fldCharType="end"/>
      </w:r>
      <w:bookmarkEnd w:id="47"/>
      <w:r w:rsidRPr="00D2718B">
        <w:rPr>
          <w:rFonts w:ascii="Segoe UI" w:eastAsia="Times New Roman" w:hAnsi="Segoe UI" w:cs="Segoe UI"/>
          <w:color w:val="000000"/>
          <w:sz w:val="20"/>
          <w:szCs w:val="20"/>
          <w:lang w:eastAsia="es-CO"/>
        </w:rPr>
        <w:t> Folios 176 a 194 c.a.1</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20"/>
          <w:szCs w:val="20"/>
          <w:lang w:eastAsia="es-CO"/>
        </w:rPr>
        <w:t> </w:t>
      </w:r>
    </w:p>
    <w:bookmarkStart w:id="48" w:name="_ftn4"/>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Arial" w:eastAsia="Times New Roman" w:hAnsi="Arial" w:cs="Arial"/>
          <w:color w:val="000000"/>
          <w:sz w:val="18"/>
          <w:szCs w:val="18"/>
          <w:lang w:eastAsia="es-CO"/>
        </w:rPr>
        <w:fldChar w:fldCharType="begin"/>
      </w:r>
      <w:r w:rsidRPr="00D2718B">
        <w:rPr>
          <w:rFonts w:ascii="Arial" w:eastAsia="Times New Roman" w:hAnsi="Arial" w:cs="Arial"/>
          <w:color w:val="000000"/>
          <w:sz w:val="18"/>
          <w:szCs w:val="18"/>
          <w:lang w:eastAsia="es-CO"/>
        </w:rPr>
        <w:instrText xml:space="preserve"> HYPERLINK "http://www.ceta.org.co/html/vista_de_un_documento.asp?DocumentoID=28851" \l "_ftnref4" \o "" </w:instrText>
      </w:r>
      <w:r w:rsidRPr="00D2718B">
        <w:rPr>
          <w:rFonts w:ascii="Arial" w:eastAsia="Times New Roman" w:hAnsi="Arial" w:cs="Arial"/>
          <w:color w:val="000000"/>
          <w:sz w:val="18"/>
          <w:szCs w:val="18"/>
          <w:lang w:eastAsia="es-CO"/>
        </w:rPr>
        <w:fldChar w:fldCharType="separate"/>
      </w:r>
      <w:r w:rsidRPr="00D2718B">
        <w:rPr>
          <w:rFonts w:ascii="Segoe UI" w:eastAsia="Times New Roman" w:hAnsi="Segoe UI" w:cs="Segoe UI"/>
          <w:color w:val="0089E1"/>
          <w:sz w:val="20"/>
          <w:szCs w:val="20"/>
          <w:lang w:eastAsia="es-CO"/>
        </w:rPr>
        <w:t>[4]</w:t>
      </w:r>
      <w:r w:rsidRPr="00D2718B">
        <w:rPr>
          <w:rFonts w:ascii="Arial" w:eastAsia="Times New Roman" w:hAnsi="Arial" w:cs="Arial"/>
          <w:color w:val="000000"/>
          <w:sz w:val="18"/>
          <w:szCs w:val="18"/>
          <w:lang w:eastAsia="es-CO"/>
        </w:rPr>
        <w:fldChar w:fldCharType="end"/>
      </w:r>
      <w:bookmarkEnd w:id="48"/>
      <w:r w:rsidRPr="00D2718B">
        <w:rPr>
          <w:rFonts w:ascii="Segoe UI" w:eastAsia="Times New Roman" w:hAnsi="Segoe UI" w:cs="Segoe UI"/>
          <w:color w:val="000000"/>
          <w:sz w:val="20"/>
          <w:szCs w:val="20"/>
          <w:lang w:eastAsia="es-CO"/>
        </w:rPr>
        <w:t> Folios 19 a 31 c.a.2</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20"/>
          <w:szCs w:val="20"/>
          <w:lang w:eastAsia="es-CO"/>
        </w:rPr>
        <w:t> </w:t>
      </w:r>
    </w:p>
    <w:bookmarkStart w:id="49" w:name="_ftn5"/>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Arial" w:eastAsia="Times New Roman" w:hAnsi="Arial" w:cs="Arial"/>
          <w:color w:val="000000"/>
          <w:sz w:val="18"/>
          <w:szCs w:val="18"/>
          <w:lang w:eastAsia="es-CO"/>
        </w:rPr>
        <w:fldChar w:fldCharType="begin"/>
      </w:r>
      <w:r w:rsidRPr="00D2718B">
        <w:rPr>
          <w:rFonts w:ascii="Arial" w:eastAsia="Times New Roman" w:hAnsi="Arial" w:cs="Arial"/>
          <w:color w:val="000000"/>
          <w:sz w:val="18"/>
          <w:szCs w:val="18"/>
          <w:lang w:eastAsia="es-CO"/>
        </w:rPr>
        <w:instrText xml:space="preserve"> HYPERLINK "http://www.ceta.org.co/html/vista_de_un_documento.asp?DocumentoID=28851" \l "_ftnref5" \o "" </w:instrText>
      </w:r>
      <w:r w:rsidRPr="00D2718B">
        <w:rPr>
          <w:rFonts w:ascii="Arial" w:eastAsia="Times New Roman" w:hAnsi="Arial" w:cs="Arial"/>
          <w:color w:val="000000"/>
          <w:sz w:val="18"/>
          <w:szCs w:val="18"/>
          <w:lang w:eastAsia="es-CO"/>
        </w:rPr>
        <w:fldChar w:fldCharType="separate"/>
      </w:r>
      <w:r w:rsidRPr="00D2718B">
        <w:rPr>
          <w:rFonts w:ascii="Segoe UI" w:eastAsia="Times New Roman" w:hAnsi="Segoe UI" w:cs="Segoe UI"/>
          <w:color w:val="0089E1"/>
          <w:sz w:val="20"/>
          <w:szCs w:val="20"/>
          <w:lang w:eastAsia="es-CO"/>
        </w:rPr>
        <w:t>[5]</w:t>
      </w:r>
      <w:r w:rsidRPr="00D2718B">
        <w:rPr>
          <w:rFonts w:ascii="Arial" w:eastAsia="Times New Roman" w:hAnsi="Arial" w:cs="Arial"/>
          <w:color w:val="000000"/>
          <w:sz w:val="18"/>
          <w:szCs w:val="18"/>
          <w:lang w:eastAsia="es-CO"/>
        </w:rPr>
        <w:fldChar w:fldCharType="end"/>
      </w:r>
      <w:bookmarkEnd w:id="49"/>
      <w:r w:rsidRPr="00D2718B">
        <w:rPr>
          <w:rFonts w:ascii="Segoe UI" w:eastAsia="Times New Roman" w:hAnsi="Segoe UI" w:cs="Segoe UI"/>
          <w:color w:val="000000"/>
          <w:sz w:val="20"/>
          <w:szCs w:val="20"/>
          <w:lang w:eastAsia="es-CO"/>
        </w:rPr>
        <w:t> Folios 32 a 36 c.a.2</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20"/>
          <w:szCs w:val="20"/>
          <w:lang w:eastAsia="es-CO"/>
        </w:rPr>
        <w:t> </w:t>
      </w:r>
    </w:p>
    <w:bookmarkStart w:id="50" w:name="_ftn6"/>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Arial" w:eastAsia="Times New Roman" w:hAnsi="Arial" w:cs="Arial"/>
          <w:color w:val="000000"/>
          <w:sz w:val="18"/>
          <w:szCs w:val="18"/>
          <w:lang w:eastAsia="es-CO"/>
        </w:rPr>
        <w:fldChar w:fldCharType="begin"/>
      </w:r>
      <w:r w:rsidRPr="00D2718B">
        <w:rPr>
          <w:rFonts w:ascii="Arial" w:eastAsia="Times New Roman" w:hAnsi="Arial" w:cs="Arial"/>
          <w:color w:val="000000"/>
          <w:sz w:val="18"/>
          <w:szCs w:val="18"/>
          <w:lang w:eastAsia="es-CO"/>
        </w:rPr>
        <w:instrText xml:space="preserve"> HYPERLINK "http://www.ceta.org.co/html/vista_de_un_documento.asp?DocumentoID=28851" \l "_ftnref6" \o "" </w:instrText>
      </w:r>
      <w:r w:rsidRPr="00D2718B">
        <w:rPr>
          <w:rFonts w:ascii="Arial" w:eastAsia="Times New Roman" w:hAnsi="Arial" w:cs="Arial"/>
          <w:color w:val="000000"/>
          <w:sz w:val="18"/>
          <w:szCs w:val="18"/>
          <w:lang w:eastAsia="es-CO"/>
        </w:rPr>
        <w:fldChar w:fldCharType="separate"/>
      </w:r>
      <w:r w:rsidRPr="00D2718B">
        <w:rPr>
          <w:rFonts w:ascii="Segoe UI" w:eastAsia="Times New Roman" w:hAnsi="Segoe UI" w:cs="Segoe UI"/>
          <w:color w:val="0089E1"/>
          <w:sz w:val="20"/>
          <w:szCs w:val="20"/>
          <w:lang w:eastAsia="es-CO"/>
        </w:rPr>
        <w:t>[6]</w:t>
      </w:r>
      <w:r w:rsidRPr="00D2718B">
        <w:rPr>
          <w:rFonts w:ascii="Arial" w:eastAsia="Times New Roman" w:hAnsi="Arial" w:cs="Arial"/>
          <w:color w:val="000000"/>
          <w:sz w:val="18"/>
          <w:szCs w:val="18"/>
          <w:lang w:eastAsia="es-CO"/>
        </w:rPr>
        <w:fldChar w:fldCharType="end"/>
      </w:r>
      <w:bookmarkEnd w:id="50"/>
      <w:r w:rsidRPr="00D2718B">
        <w:rPr>
          <w:rFonts w:ascii="Segoe UI" w:eastAsia="Times New Roman" w:hAnsi="Segoe UI" w:cs="Segoe UI"/>
          <w:color w:val="000000"/>
          <w:sz w:val="20"/>
          <w:szCs w:val="20"/>
          <w:lang w:eastAsia="es-CO"/>
        </w:rPr>
        <w:t xml:space="preserve"> Folios 43 a 47 </w:t>
      </w:r>
      <w:proofErr w:type="spellStart"/>
      <w:r w:rsidRPr="00D2718B">
        <w:rPr>
          <w:rFonts w:ascii="Segoe UI" w:eastAsia="Times New Roman" w:hAnsi="Segoe UI" w:cs="Segoe UI"/>
          <w:color w:val="000000"/>
          <w:sz w:val="20"/>
          <w:szCs w:val="20"/>
          <w:lang w:eastAsia="es-CO"/>
        </w:rPr>
        <w:t>c.ppal</w:t>
      </w:r>
      <w:proofErr w:type="spellEnd"/>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20"/>
          <w:szCs w:val="20"/>
          <w:lang w:eastAsia="es-CO"/>
        </w:rPr>
        <w:t> </w:t>
      </w:r>
    </w:p>
    <w:bookmarkStart w:id="51" w:name="_ftn7"/>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Arial" w:eastAsia="Times New Roman" w:hAnsi="Arial" w:cs="Arial"/>
          <w:color w:val="000000"/>
          <w:sz w:val="18"/>
          <w:szCs w:val="18"/>
          <w:lang w:eastAsia="es-CO"/>
        </w:rPr>
        <w:fldChar w:fldCharType="begin"/>
      </w:r>
      <w:r w:rsidRPr="00D2718B">
        <w:rPr>
          <w:rFonts w:ascii="Arial" w:eastAsia="Times New Roman" w:hAnsi="Arial" w:cs="Arial"/>
          <w:color w:val="000000"/>
          <w:sz w:val="18"/>
          <w:szCs w:val="18"/>
          <w:lang w:eastAsia="es-CO"/>
        </w:rPr>
        <w:instrText xml:space="preserve"> HYPERLINK "http://www.ceta.org.co/html/vista_de_un_documento.asp?DocumentoID=28851" \l "_ftnref7" \o "" </w:instrText>
      </w:r>
      <w:r w:rsidRPr="00D2718B">
        <w:rPr>
          <w:rFonts w:ascii="Arial" w:eastAsia="Times New Roman" w:hAnsi="Arial" w:cs="Arial"/>
          <w:color w:val="000000"/>
          <w:sz w:val="18"/>
          <w:szCs w:val="18"/>
          <w:lang w:eastAsia="es-CO"/>
        </w:rPr>
        <w:fldChar w:fldCharType="separate"/>
      </w:r>
      <w:r w:rsidRPr="00D2718B">
        <w:rPr>
          <w:rFonts w:ascii="Segoe UI" w:eastAsia="Times New Roman" w:hAnsi="Segoe UI" w:cs="Segoe UI"/>
          <w:color w:val="0089E1"/>
          <w:sz w:val="20"/>
          <w:szCs w:val="20"/>
          <w:lang w:eastAsia="es-CO"/>
        </w:rPr>
        <w:t>[7]</w:t>
      </w:r>
      <w:r w:rsidRPr="00D2718B">
        <w:rPr>
          <w:rFonts w:ascii="Arial" w:eastAsia="Times New Roman" w:hAnsi="Arial" w:cs="Arial"/>
          <w:color w:val="000000"/>
          <w:sz w:val="18"/>
          <w:szCs w:val="18"/>
          <w:lang w:eastAsia="es-CO"/>
        </w:rPr>
        <w:fldChar w:fldCharType="end"/>
      </w:r>
      <w:bookmarkEnd w:id="51"/>
      <w:r w:rsidRPr="00D2718B">
        <w:rPr>
          <w:rFonts w:ascii="Segoe UI" w:eastAsia="Times New Roman" w:hAnsi="Segoe UI" w:cs="Segoe UI"/>
          <w:color w:val="000000"/>
          <w:sz w:val="20"/>
          <w:szCs w:val="20"/>
          <w:lang w:eastAsia="es-CO"/>
        </w:rPr>
        <w:t xml:space="preserve"> Folio 4 </w:t>
      </w:r>
      <w:proofErr w:type="spellStart"/>
      <w:r w:rsidRPr="00D2718B">
        <w:rPr>
          <w:rFonts w:ascii="Segoe UI" w:eastAsia="Times New Roman" w:hAnsi="Segoe UI" w:cs="Segoe UI"/>
          <w:color w:val="000000"/>
          <w:sz w:val="20"/>
          <w:szCs w:val="20"/>
          <w:lang w:eastAsia="es-CO"/>
        </w:rPr>
        <w:t>c.ppal</w:t>
      </w:r>
      <w:proofErr w:type="spellEnd"/>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20"/>
          <w:szCs w:val="20"/>
          <w:lang w:eastAsia="es-CO"/>
        </w:rPr>
        <w:t> </w:t>
      </w:r>
    </w:p>
    <w:bookmarkStart w:id="52" w:name="_ftn8"/>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Arial" w:eastAsia="Times New Roman" w:hAnsi="Arial" w:cs="Arial"/>
          <w:color w:val="000000"/>
          <w:sz w:val="18"/>
          <w:szCs w:val="18"/>
          <w:lang w:eastAsia="es-CO"/>
        </w:rPr>
        <w:fldChar w:fldCharType="begin"/>
      </w:r>
      <w:r w:rsidRPr="00D2718B">
        <w:rPr>
          <w:rFonts w:ascii="Arial" w:eastAsia="Times New Roman" w:hAnsi="Arial" w:cs="Arial"/>
          <w:color w:val="000000"/>
          <w:sz w:val="18"/>
          <w:szCs w:val="18"/>
          <w:lang w:eastAsia="es-CO"/>
        </w:rPr>
        <w:instrText xml:space="preserve"> HYPERLINK "http://www.ceta.org.co/html/vista_de_un_documento.asp?DocumentoID=28851" \l "_ftnref8" \o "" </w:instrText>
      </w:r>
      <w:r w:rsidRPr="00D2718B">
        <w:rPr>
          <w:rFonts w:ascii="Arial" w:eastAsia="Times New Roman" w:hAnsi="Arial" w:cs="Arial"/>
          <w:color w:val="000000"/>
          <w:sz w:val="18"/>
          <w:szCs w:val="18"/>
          <w:lang w:eastAsia="es-CO"/>
        </w:rPr>
        <w:fldChar w:fldCharType="separate"/>
      </w:r>
      <w:r w:rsidRPr="00D2718B">
        <w:rPr>
          <w:rFonts w:ascii="Segoe UI" w:eastAsia="Times New Roman" w:hAnsi="Segoe UI" w:cs="Segoe UI"/>
          <w:color w:val="0089E1"/>
          <w:sz w:val="20"/>
          <w:szCs w:val="20"/>
          <w:lang w:eastAsia="es-CO"/>
        </w:rPr>
        <w:t>[8]</w:t>
      </w:r>
      <w:r w:rsidRPr="00D2718B">
        <w:rPr>
          <w:rFonts w:ascii="Arial" w:eastAsia="Times New Roman" w:hAnsi="Arial" w:cs="Arial"/>
          <w:color w:val="000000"/>
          <w:sz w:val="18"/>
          <w:szCs w:val="18"/>
          <w:lang w:eastAsia="es-CO"/>
        </w:rPr>
        <w:fldChar w:fldCharType="end"/>
      </w:r>
      <w:bookmarkEnd w:id="52"/>
      <w:r w:rsidRPr="00D2718B">
        <w:rPr>
          <w:rFonts w:ascii="Segoe UI" w:eastAsia="Times New Roman" w:hAnsi="Segoe UI" w:cs="Segoe UI"/>
          <w:color w:val="000000"/>
          <w:sz w:val="20"/>
          <w:szCs w:val="20"/>
          <w:lang w:eastAsia="es-CO"/>
        </w:rPr>
        <w:t xml:space="preserve"> Sentencia de 14 de octubre de 1994, </w:t>
      </w:r>
      <w:proofErr w:type="spellStart"/>
      <w:r w:rsidRPr="00D2718B">
        <w:rPr>
          <w:rFonts w:ascii="Segoe UI" w:eastAsia="Times New Roman" w:hAnsi="Segoe UI" w:cs="Segoe UI"/>
          <w:color w:val="000000"/>
          <w:sz w:val="20"/>
          <w:szCs w:val="20"/>
          <w:lang w:eastAsia="es-CO"/>
        </w:rPr>
        <w:t>exp</w:t>
      </w:r>
      <w:proofErr w:type="spellEnd"/>
      <w:r w:rsidRPr="00D2718B">
        <w:rPr>
          <w:rFonts w:ascii="Segoe UI" w:eastAsia="Times New Roman" w:hAnsi="Segoe UI" w:cs="Segoe UI"/>
          <w:color w:val="000000"/>
          <w:sz w:val="20"/>
          <w:szCs w:val="20"/>
          <w:lang w:eastAsia="es-CO"/>
        </w:rPr>
        <w:t>. 5756. C.P. Jaime Abella Zárate.</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20"/>
          <w:szCs w:val="20"/>
          <w:lang w:eastAsia="es-CO"/>
        </w:rPr>
        <w:t> </w:t>
      </w:r>
    </w:p>
    <w:bookmarkStart w:id="53" w:name="_ftn9"/>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Arial" w:eastAsia="Times New Roman" w:hAnsi="Arial" w:cs="Arial"/>
          <w:color w:val="000000"/>
          <w:sz w:val="18"/>
          <w:szCs w:val="18"/>
          <w:lang w:eastAsia="es-CO"/>
        </w:rPr>
        <w:fldChar w:fldCharType="begin"/>
      </w:r>
      <w:r w:rsidRPr="00D2718B">
        <w:rPr>
          <w:rFonts w:ascii="Arial" w:eastAsia="Times New Roman" w:hAnsi="Arial" w:cs="Arial"/>
          <w:color w:val="000000"/>
          <w:sz w:val="18"/>
          <w:szCs w:val="18"/>
          <w:lang w:eastAsia="es-CO"/>
        </w:rPr>
        <w:instrText xml:space="preserve"> HYPERLINK "http://www.ceta.org.co/html/vista_de_un_documento.asp?DocumentoID=28851" \l "_ftnref9" \o "" </w:instrText>
      </w:r>
      <w:r w:rsidRPr="00D2718B">
        <w:rPr>
          <w:rFonts w:ascii="Arial" w:eastAsia="Times New Roman" w:hAnsi="Arial" w:cs="Arial"/>
          <w:color w:val="000000"/>
          <w:sz w:val="18"/>
          <w:szCs w:val="18"/>
          <w:lang w:eastAsia="es-CO"/>
        </w:rPr>
        <w:fldChar w:fldCharType="separate"/>
      </w:r>
      <w:r w:rsidRPr="00D2718B">
        <w:rPr>
          <w:rFonts w:ascii="Segoe UI" w:eastAsia="Times New Roman" w:hAnsi="Segoe UI" w:cs="Segoe UI"/>
          <w:color w:val="0089E1"/>
          <w:sz w:val="20"/>
          <w:szCs w:val="20"/>
          <w:lang w:eastAsia="es-CO"/>
        </w:rPr>
        <w:t>[9]</w:t>
      </w:r>
      <w:r w:rsidRPr="00D2718B">
        <w:rPr>
          <w:rFonts w:ascii="Arial" w:eastAsia="Times New Roman" w:hAnsi="Arial" w:cs="Arial"/>
          <w:color w:val="000000"/>
          <w:sz w:val="18"/>
          <w:szCs w:val="18"/>
          <w:lang w:eastAsia="es-CO"/>
        </w:rPr>
        <w:fldChar w:fldCharType="end"/>
      </w:r>
      <w:bookmarkEnd w:id="53"/>
      <w:r w:rsidRPr="00D2718B">
        <w:rPr>
          <w:rFonts w:ascii="Segoe UI" w:eastAsia="Times New Roman" w:hAnsi="Segoe UI" w:cs="Segoe UI"/>
          <w:color w:val="000000"/>
          <w:sz w:val="20"/>
          <w:szCs w:val="20"/>
          <w:lang w:eastAsia="es-CO"/>
        </w:rPr>
        <w:t> Sentencia C-015 de 1993.</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20"/>
          <w:szCs w:val="20"/>
          <w:lang w:eastAsia="es-CO"/>
        </w:rPr>
        <w:t> </w:t>
      </w:r>
    </w:p>
    <w:bookmarkStart w:id="54" w:name="_ftn10"/>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Arial" w:eastAsia="Times New Roman" w:hAnsi="Arial" w:cs="Arial"/>
          <w:color w:val="000000"/>
          <w:sz w:val="18"/>
          <w:szCs w:val="18"/>
          <w:lang w:eastAsia="es-CO"/>
        </w:rPr>
        <w:lastRenderedPageBreak/>
        <w:fldChar w:fldCharType="begin"/>
      </w:r>
      <w:r w:rsidRPr="00D2718B">
        <w:rPr>
          <w:rFonts w:ascii="Arial" w:eastAsia="Times New Roman" w:hAnsi="Arial" w:cs="Arial"/>
          <w:color w:val="000000"/>
          <w:sz w:val="18"/>
          <w:szCs w:val="18"/>
          <w:lang w:eastAsia="es-CO"/>
        </w:rPr>
        <w:instrText xml:space="preserve"> HYPERLINK "http://www.ceta.org.co/html/vista_de_un_documento.asp?DocumentoID=28851" \l "_ftnref10" \o "" </w:instrText>
      </w:r>
      <w:r w:rsidRPr="00D2718B">
        <w:rPr>
          <w:rFonts w:ascii="Arial" w:eastAsia="Times New Roman" w:hAnsi="Arial" w:cs="Arial"/>
          <w:color w:val="000000"/>
          <w:sz w:val="18"/>
          <w:szCs w:val="18"/>
          <w:lang w:eastAsia="es-CO"/>
        </w:rPr>
        <w:fldChar w:fldCharType="separate"/>
      </w:r>
      <w:r w:rsidRPr="00D2718B">
        <w:rPr>
          <w:rFonts w:ascii="Segoe UI" w:eastAsia="Times New Roman" w:hAnsi="Segoe UI" w:cs="Segoe UI"/>
          <w:color w:val="0089E1"/>
          <w:sz w:val="20"/>
          <w:szCs w:val="20"/>
          <w:lang w:eastAsia="es-CO"/>
        </w:rPr>
        <w:t>[10]</w:t>
      </w:r>
      <w:r w:rsidRPr="00D2718B">
        <w:rPr>
          <w:rFonts w:ascii="Arial" w:eastAsia="Times New Roman" w:hAnsi="Arial" w:cs="Arial"/>
          <w:color w:val="000000"/>
          <w:sz w:val="18"/>
          <w:szCs w:val="18"/>
          <w:lang w:eastAsia="es-CO"/>
        </w:rPr>
        <w:fldChar w:fldCharType="end"/>
      </w:r>
      <w:bookmarkEnd w:id="54"/>
      <w:r w:rsidRPr="00D2718B">
        <w:rPr>
          <w:rFonts w:ascii="Segoe UI" w:eastAsia="Times New Roman" w:hAnsi="Segoe UI" w:cs="Segoe UI"/>
          <w:color w:val="000000"/>
          <w:sz w:val="20"/>
          <w:szCs w:val="20"/>
          <w:lang w:eastAsia="es-CO"/>
        </w:rPr>
        <w:t xml:space="preserve"> Sentencia de 18 de julio de 2008, </w:t>
      </w:r>
      <w:proofErr w:type="spellStart"/>
      <w:r w:rsidRPr="00D2718B">
        <w:rPr>
          <w:rFonts w:ascii="Segoe UI" w:eastAsia="Times New Roman" w:hAnsi="Segoe UI" w:cs="Segoe UI"/>
          <w:color w:val="000000"/>
          <w:sz w:val="20"/>
          <w:szCs w:val="20"/>
          <w:lang w:eastAsia="es-CO"/>
        </w:rPr>
        <w:t>exp</w:t>
      </w:r>
      <w:proofErr w:type="spellEnd"/>
      <w:r w:rsidRPr="00D2718B">
        <w:rPr>
          <w:rFonts w:ascii="Segoe UI" w:eastAsia="Times New Roman" w:hAnsi="Segoe UI" w:cs="Segoe UI"/>
          <w:color w:val="000000"/>
          <w:sz w:val="20"/>
          <w:szCs w:val="20"/>
          <w:lang w:eastAsia="es-CO"/>
        </w:rPr>
        <w:t>. 16131, C.P. Ligia López Díaz.</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20"/>
          <w:szCs w:val="20"/>
          <w:lang w:eastAsia="es-CO"/>
        </w:rPr>
        <w:t> </w:t>
      </w:r>
    </w:p>
    <w:bookmarkStart w:id="55" w:name="_ftn11"/>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Arial" w:eastAsia="Times New Roman" w:hAnsi="Arial" w:cs="Arial"/>
          <w:color w:val="000000"/>
          <w:sz w:val="18"/>
          <w:szCs w:val="18"/>
          <w:lang w:eastAsia="es-CO"/>
        </w:rPr>
        <w:fldChar w:fldCharType="begin"/>
      </w:r>
      <w:r w:rsidRPr="00D2718B">
        <w:rPr>
          <w:rFonts w:ascii="Arial" w:eastAsia="Times New Roman" w:hAnsi="Arial" w:cs="Arial"/>
          <w:color w:val="000000"/>
          <w:sz w:val="18"/>
          <w:szCs w:val="18"/>
          <w:lang w:eastAsia="es-CO"/>
        </w:rPr>
        <w:instrText xml:space="preserve"> HYPERLINK "http://www.ceta.org.co/html/vista_de_un_documento.asp?DocumentoID=28851" \l "_ftnref11" \o "" </w:instrText>
      </w:r>
      <w:r w:rsidRPr="00D2718B">
        <w:rPr>
          <w:rFonts w:ascii="Arial" w:eastAsia="Times New Roman" w:hAnsi="Arial" w:cs="Arial"/>
          <w:color w:val="000000"/>
          <w:sz w:val="18"/>
          <w:szCs w:val="18"/>
          <w:lang w:eastAsia="es-CO"/>
        </w:rPr>
        <w:fldChar w:fldCharType="separate"/>
      </w:r>
      <w:r w:rsidRPr="00D2718B">
        <w:rPr>
          <w:rFonts w:ascii="Segoe UI" w:eastAsia="Times New Roman" w:hAnsi="Segoe UI" w:cs="Segoe UI"/>
          <w:color w:val="0089E1"/>
          <w:sz w:val="20"/>
          <w:szCs w:val="20"/>
          <w:lang w:eastAsia="es-CO"/>
        </w:rPr>
        <w:t>[11]</w:t>
      </w:r>
      <w:r w:rsidRPr="00D2718B">
        <w:rPr>
          <w:rFonts w:ascii="Arial" w:eastAsia="Times New Roman" w:hAnsi="Arial" w:cs="Arial"/>
          <w:color w:val="000000"/>
          <w:sz w:val="18"/>
          <w:szCs w:val="18"/>
          <w:lang w:eastAsia="es-CO"/>
        </w:rPr>
        <w:fldChar w:fldCharType="end"/>
      </w:r>
      <w:bookmarkEnd w:id="55"/>
      <w:r w:rsidRPr="00D2718B">
        <w:rPr>
          <w:rFonts w:ascii="Segoe UI" w:eastAsia="Times New Roman" w:hAnsi="Segoe UI" w:cs="Segoe UI"/>
          <w:color w:val="000000"/>
          <w:sz w:val="20"/>
          <w:szCs w:val="20"/>
          <w:lang w:eastAsia="es-CO"/>
        </w:rPr>
        <w:t xml:space="preserve"> Folios 77 a 94 </w:t>
      </w:r>
      <w:proofErr w:type="spellStart"/>
      <w:r w:rsidRPr="00D2718B">
        <w:rPr>
          <w:rFonts w:ascii="Segoe UI" w:eastAsia="Times New Roman" w:hAnsi="Segoe UI" w:cs="Segoe UI"/>
          <w:color w:val="000000"/>
          <w:sz w:val="20"/>
          <w:szCs w:val="20"/>
          <w:lang w:eastAsia="es-CO"/>
        </w:rPr>
        <w:t>c.ppal</w:t>
      </w:r>
      <w:proofErr w:type="spellEnd"/>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20"/>
          <w:szCs w:val="20"/>
          <w:lang w:eastAsia="es-CO"/>
        </w:rPr>
        <w:t> </w:t>
      </w:r>
    </w:p>
    <w:bookmarkStart w:id="56" w:name="_ftn12"/>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Arial" w:eastAsia="Times New Roman" w:hAnsi="Arial" w:cs="Arial"/>
          <w:color w:val="000000"/>
          <w:sz w:val="18"/>
          <w:szCs w:val="18"/>
          <w:lang w:eastAsia="es-CO"/>
        </w:rPr>
        <w:fldChar w:fldCharType="begin"/>
      </w:r>
      <w:r w:rsidRPr="00D2718B">
        <w:rPr>
          <w:rFonts w:ascii="Arial" w:eastAsia="Times New Roman" w:hAnsi="Arial" w:cs="Arial"/>
          <w:color w:val="000000"/>
          <w:sz w:val="18"/>
          <w:szCs w:val="18"/>
          <w:lang w:eastAsia="es-CO"/>
        </w:rPr>
        <w:instrText xml:space="preserve"> HYPERLINK "http://www.ceta.org.co/html/vista_de_un_documento.asp?DocumentoID=28851" \l "_ftnref12" \o "" </w:instrText>
      </w:r>
      <w:r w:rsidRPr="00D2718B">
        <w:rPr>
          <w:rFonts w:ascii="Arial" w:eastAsia="Times New Roman" w:hAnsi="Arial" w:cs="Arial"/>
          <w:color w:val="000000"/>
          <w:sz w:val="18"/>
          <w:szCs w:val="18"/>
          <w:lang w:eastAsia="es-CO"/>
        </w:rPr>
        <w:fldChar w:fldCharType="separate"/>
      </w:r>
      <w:r w:rsidRPr="00D2718B">
        <w:rPr>
          <w:rFonts w:ascii="Segoe UI" w:eastAsia="Times New Roman" w:hAnsi="Segoe UI" w:cs="Segoe UI"/>
          <w:color w:val="0089E1"/>
          <w:sz w:val="20"/>
          <w:szCs w:val="20"/>
          <w:lang w:eastAsia="es-CO"/>
        </w:rPr>
        <w:t>[12]</w:t>
      </w:r>
      <w:r w:rsidRPr="00D2718B">
        <w:rPr>
          <w:rFonts w:ascii="Arial" w:eastAsia="Times New Roman" w:hAnsi="Arial" w:cs="Arial"/>
          <w:color w:val="000000"/>
          <w:sz w:val="18"/>
          <w:szCs w:val="18"/>
          <w:lang w:eastAsia="es-CO"/>
        </w:rPr>
        <w:fldChar w:fldCharType="end"/>
      </w:r>
      <w:bookmarkEnd w:id="56"/>
      <w:r w:rsidRPr="00D2718B">
        <w:rPr>
          <w:rFonts w:ascii="Segoe UI" w:eastAsia="Times New Roman" w:hAnsi="Segoe UI" w:cs="Segoe UI"/>
          <w:color w:val="000000"/>
          <w:sz w:val="20"/>
          <w:szCs w:val="20"/>
          <w:lang w:eastAsia="es-CO"/>
        </w:rPr>
        <w:t xml:space="preserve"> Folios 117 a 123 </w:t>
      </w:r>
      <w:proofErr w:type="spellStart"/>
      <w:r w:rsidRPr="00D2718B">
        <w:rPr>
          <w:rFonts w:ascii="Segoe UI" w:eastAsia="Times New Roman" w:hAnsi="Segoe UI" w:cs="Segoe UI"/>
          <w:color w:val="000000"/>
          <w:sz w:val="20"/>
          <w:szCs w:val="20"/>
          <w:lang w:eastAsia="es-CO"/>
        </w:rPr>
        <w:t>c.ppal</w:t>
      </w:r>
      <w:proofErr w:type="spellEnd"/>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20"/>
          <w:szCs w:val="20"/>
          <w:lang w:eastAsia="es-CO"/>
        </w:rPr>
        <w:t> </w:t>
      </w:r>
    </w:p>
    <w:bookmarkStart w:id="57" w:name="_ftn13"/>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Arial" w:eastAsia="Times New Roman" w:hAnsi="Arial" w:cs="Arial"/>
          <w:color w:val="000000"/>
          <w:sz w:val="18"/>
          <w:szCs w:val="18"/>
          <w:lang w:eastAsia="es-CO"/>
        </w:rPr>
        <w:fldChar w:fldCharType="begin"/>
      </w:r>
      <w:r w:rsidRPr="00D2718B">
        <w:rPr>
          <w:rFonts w:ascii="Arial" w:eastAsia="Times New Roman" w:hAnsi="Arial" w:cs="Arial"/>
          <w:color w:val="000000"/>
          <w:sz w:val="18"/>
          <w:szCs w:val="18"/>
          <w:lang w:eastAsia="es-CO"/>
        </w:rPr>
        <w:instrText xml:space="preserve"> HYPERLINK "http://www.ceta.org.co/html/vista_de_un_documento.asp?DocumentoID=28851" \l "_ftnref13" \o "" </w:instrText>
      </w:r>
      <w:r w:rsidRPr="00D2718B">
        <w:rPr>
          <w:rFonts w:ascii="Arial" w:eastAsia="Times New Roman" w:hAnsi="Arial" w:cs="Arial"/>
          <w:color w:val="000000"/>
          <w:sz w:val="18"/>
          <w:szCs w:val="18"/>
          <w:lang w:eastAsia="es-CO"/>
        </w:rPr>
        <w:fldChar w:fldCharType="separate"/>
      </w:r>
      <w:r w:rsidRPr="00D2718B">
        <w:rPr>
          <w:rFonts w:ascii="Segoe UI" w:eastAsia="Times New Roman" w:hAnsi="Segoe UI" w:cs="Segoe UI"/>
          <w:color w:val="0089E1"/>
          <w:sz w:val="20"/>
          <w:szCs w:val="20"/>
          <w:lang w:eastAsia="es-CO"/>
        </w:rPr>
        <w:t>[13]</w:t>
      </w:r>
      <w:r w:rsidRPr="00D2718B">
        <w:rPr>
          <w:rFonts w:ascii="Arial" w:eastAsia="Times New Roman" w:hAnsi="Arial" w:cs="Arial"/>
          <w:color w:val="000000"/>
          <w:sz w:val="18"/>
          <w:szCs w:val="18"/>
          <w:lang w:eastAsia="es-CO"/>
        </w:rPr>
        <w:fldChar w:fldCharType="end"/>
      </w:r>
      <w:bookmarkEnd w:id="57"/>
      <w:r w:rsidRPr="00D2718B">
        <w:rPr>
          <w:rFonts w:ascii="Segoe UI" w:eastAsia="Times New Roman" w:hAnsi="Segoe UI" w:cs="Segoe UI"/>
          <w:color w:val="000000"/>
          <w:sz w:val="20"/>
          <w:szCs w:val="20"/>
          <w:lang w:eastAsia="es-CO"/>
        </w:rPr>
        <w:t xml:space="preserve"> Folios 128 a 143 </w:t>
      </w:r>
      <w:proofErr w:type="spellStart"/>
      <w:r w:rsidRPr="00D2718B">
        <w:rPr>
          <w:rFonts w:ascii="Segoe UI" w:eastAsia="Times New Roman" w:hAnsi="Segoe UI" w:cs="Segoe UI"/>
          <w:color w:val="000000"/>
          <w:sz w:val="20"/>
          <w:szCs w:val="20"/>
          <w:lang w:eastAsia="es-CO"/>
        </w:rPr>
        <w:t>c.ppal</w:t>
      </w:r>
      <w:proofErr w:type="spellEnd"/>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20"/>
          <w:szCs w:val="20"/>
          <w:lang w:eastAsia="es-CO"/>
        </w:rPr>
        <w:t> </w:t>
      </w:r>
    </w:p>
    <w:bookmarkStart w:id="58" w:name="_ftn14"/>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Arial" w:eastAsia="Times New Roman" w:hAnsi="Arial" w:cs="Arial"/>
          <w:color w:val="000000"/>
          <w:sz w:val="18"/>
          <w:szCs w:val="18"/>
          <w:lang w:eastAsia="es-CO"/>
        </w:rPr>
        <w:fldChar w:fldCharType="begin"/>
      </w:r>
      <w:r w:rsidRPr="00D2718B">
        <w:rPr>
          <w:rFonts w:ascii="Arial" w:eastAsia="Times New Roman" w:hAnsi="Arial" w:cs="Arial"/>
          <w:color w:val="000000"/>
          <w:sz w:val="18"/>
          <w:szCs w:val="18"/>
          <w:lang w:eastAsia="es-CO"/>
        </w:rPr>
        <w:instrText xml:space="preserve"> HYPERLINK "http://www.ceta.org.co/html/vista_de_un_documento.asp?DocumentoID=28851" \l "_ftnref14" \o "" </w:instrText>
      </w:r>
      <w:r w:rsidRPr="00D2718B">
        <w:rPr>
          <w:rFonts w:ascii="Arial" w:eastAsia="Times New Roman" w:hAnsi="Arial" w:cs="Arial"/>
          <w:color w:val="000000"/>
          <w:sz w:val="18"/>
          <w:szCs w:val="18"/>
          <w:lang w:eastAsia="es-CO"/>
        </w:rPr>
        <w:fldChar w:fldCharType="separate"/>
      </w:r>
      <w:r w:rsidRPr="00D2718B">
        <w:rPr>
          <w:rFonts w:ascii="Segoe UI" w:eastAsia="Times New Roman" w:hAnsi="Segoe UI" w:cs="Segoe UI"/>
          <w:color w:val="0089E1"/>
          <w:sz w:val="20"/>
          <w:szCs w:val="20"/>
          <w:lang w:eastAsia="es-CO"/>
        </w:rPr>
        <w:t>[14]</w:t>
      </w:r>
      <w:r w:rsidRPr="00D2718B">
        <w:rPr>
          <w:rFonts w:ascii="Arial" w:eastAsia="Times New Roman" w:hAnsi="Arial" w:cs="Arial"/>
          <w:color w:val="000000"/>
          <w:sz w:val="18"/>
          <w:szCs w:val="18"/>
          <w:lang w:eastAsia="es-CO"/>
        </w:rPr>
        <w:fldChar w:fldCharType="end"/>
      </w:r>
      <w:bookmarkEnd w:id="58"/>
      <w:r w:rsidRPr="00D2718B">
        <w:rPr>
          <w:rFonts w:ascii="Segoe UI" w:eastAsia="Times New Roman" w:hAnsi="Segoe UI" w:cs="Segoe UI"/>
          <w:color w:val="000000"/>
          <w:sz w:val="20"/>
          <w:szCs w:val="20"/>
          <w:lang w:eastAsia="es-CO"/>
        </w:rPr>
        <w:t xml:space="preserve"> Sentencia de 4 de agosto de 2011, </w:t>
      </w:r>
      <w:proofErr w:type="spellStart"/>
      <w:r w:rsidRPr="00D2718B">
        <w:rPr>
          <w:rFonts w:ascii="Segoe UI" w:eastAsia="Times New Roman" w:hAnsi="Segoe UI" w:cs="Segoe UI"/>
          <w:color w:val="000000"/>
          <w:sz w:val="20"/>
          <w:szCs w:val="20"/>
          <w:lang w:eastAsia="es-CO"/>
        </w:rPr>
        <w:t>exp</w:t>
      </w:r>
      <w:proofErr w:type="spellEnd"/>
      <w:r w:rsidRPr="00D2718B">
        <w:rPr>
          <w:rFonts w:ascii="Segoe UI" w:eastAsia="Times New Roman" w:hAnsi="Segoe UI" w:cs="Segoe UI"/>
          <w:color w:val="000000"/>
          <w:sz w:val="20"/>
          <w:szCs w:val="20"/>
          <w:lang w:eastAsia="es-CO"/>
        </w:rPr>
        <w:t>. 17628, C.P. Martha Teresa Briceño de Valencia.</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20"/>
          <w:szCs w:val="20"/>
          <w:lang w:eastAsia="es-CO"/>
        </w:rPr>
        <w:t> </w:t>
      </w:r>
    </w:p>
    <w:bookmarkStart w:id="59" w:name="_ftn15"/>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Arial" w:eastAsia="Times New Roman" w:hAnsi="Arial" w:cs="Arial"/>
          <w:color w:val="000000"/>
          <w:sz w:val="18"/>
          <w:szCs w:val="18"/>
          <w:lang w:eastAsia="es-CO"/>
        </w:rPr>
        <w:fldChar w:fldCharType="begin"/>
      </w:r>
      <w:r w:rsidRPr="00D2718B">
        <w:rPr>
          <w:rFonts w:ascii="Arial" w:eastAsia="Times New Roman" w:hAnsi="Arial" w:cs="Arial"/>
          <w:color w:val="000000"/>
          <w:sz w:val="18"/>
          <w:szCs w:val="18"/>
          <w:lang w:eastAsia="es-CO"/>
        </w:rPr>
        <w:instrText xml:space="preserve"> HYPERLINK "http://www.ceta.org.co/html/vista_de_un_documento.asp?DocumentoID=28851" \l "_ftnref15" \o "" </w:instrText>
      </w:r>
      <w:r w:rsidRPr="00D2718B">
        <w:rPr>
          <w:rFonts w:ascii="Arial" w:eastAsia="Times New Roman" w:hAnsi="Arial" w:cs="Arial"/>
          <w:color w:val="000000"/>
          <w:sz w:val="18"/>
          <w:szCs w:val="18"/>
          <w:lang w:eastAsia="es-CO"/>
        </w:rPr>
        <w:fldChar w:fldCharType="separate"/>
      </w:r>
      <w:r w:rsidRPr="00D2718B">
        <w:rPr>
          <w:rFonts w:ascii="Segoe UI" w:eastAsia="Times New Roman" w:hAnsi="Segoe UI" w:cs="Segoe UI"/>
          <w:color w:val="0089E1"/>
          <w:sz w:val="20"/>
          <w:szCs w:val="20"/>
          <w:lang w:eastAsia="es-CO"/>
        </w:rPr>
        <w:t>[15]</w:t>
      </w:r>
      <w:r w:rsidRPr="00D2718B">
        <w:rPr>
          <w:rFonts w:ascii="Arial" w:eastAsia="Times New Roman" w:hAnsi="Arial" w:cs="Arial"/>
          <w:color w:val="000000"/>
          <w:sz w:val="18"/>
          <w:szCs w:val="18"/>
          <w:lang w:eastAsia="es-CO"/>
        </w:rPr>
        <w:fldChar w:fldCharType="end"/>
      </w:r>
      <w:bookmarkEnd w:id="59"/>
      <w:r w:rsidRPr="00D2718B">
        <w:rPr>
          <w:rFonts w:ascii="Segoe UI" w:eastAsia="Times New Roman" w:hAnsi="Segoe UI" w:cs="Segoe UI"/>
          <w:color w:val="000000"/>
          <w:sz w:val="20"/>
          <w:szCs w:val="20"/>
          <w:lang w:eastAsia="es-CO"/>
        </w:rPr>
        <w:t xml:space="preserve"> Folios 159 a 166 </w:t>
      </w:r>
      <w:proofErr w:type="spellStart"/>
      <w:r w:rsidRPr="00D2718B">
        <w:rPr>
          <w:rFonts w:ascii="Segoe UI" w:eastAsia="Times New Roman" w:hAnsi="Segoe UI" w:cs="Segoe UI"/>
          <w:color w:val="000000"/>
          <w:sz w:val="20"/>
          <w:szCs w:val="20"/>
          <w:lang w:eastAsia="es-CO"/>
        </w:rPr>
        <w:t>c.ppal</w:t>
      </w:r>
      <w:proofErr w:type="spellEnd"/>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20"/>
          <w:szCs w:val="20"/>
          <w:lang w:eastAsia="es-CO"/>
        </w:rPr>
        <w:t> </w:t>
      </w:r>
    </w:p>
    <w:bookmarkStart w:id="60" w:name="_ftn16"/>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Arial" w:eastAsia="Times New Roman" w:hAnsi="Arial" w:cs="Arial"/>
          <w:color w:val="000000"/>
          <w:sz w:val="18"/>
          <w:szCs w:val="18"/>
          <w:lang w:eastAsia="es-CO"/>
        </w:rPr>
        <w:fldChar w:fldCharType="begin"/>
      </w:r>
      <w:r w:rsidRPr="00D2718B">
        <w:rPr>
          <w:rFonts w:ascii="Arial" w:eastAsia="Times New Roman" w:hAnsi="Arial" w:cs="Arial"/>
          <w:color w:val="000000"/>
          <w:sz w:val="18"/>
          <w:szCs w:val="18"/>
          <w:lang w:eastAsia="es-CO"/>
        </w:rPr>
        <w:instrText xml:space="preserve"> HYPERLINK "http://www.ceta.org.co/html/vista_de_un_documento.asp?DocumentoID=28851" \l "_ftnref16" \o "" </w:instrText>
      </w:r>
      <w:r w:rsidRPr="00D2718B">
        <w:rPr>
          <w:rFonts w:ascii="Arial" w:eastAsia="Times New Roman" w:hAnsi="Arial" w:cs="Arial"/>
          <w:color w:val="000000"/>
          <w:sz w:val="18"/>
          <w:szCs w:val="18"/>
          <w:lang w:eastAsia="es-CO"/>
        </w:rPr>
        <w:fldChar w:fldCharType="separate"/>
      </w:r>
      <w:r w:rsidRPr="00D2718B">
        <w:rPr>
          <w:rFonts w:ascii="Segoe UI" w:eastAsia="Times New Roman" w:hAnsi="Segoe UI" w:cs="Segoe UI"/>
          <w:color w:val="0089E1"/>
          <w:sz w:val="20"/>
          <w:szCs w:val="20"/>
          <w:lang w:eastAsia="es-CO"/>
        </w:rPr>
        <w:t>[16]</w:t>
      </w:r>
      <w:r w:rsidRPr="00D2718B">
        <w:rPr>
          <w:rFonts w:ascii="Arial" w:eastAsia="Times New Roman" w:hAnsi="Arial" w:cs="Arial"/>
          <w:color w:val="000000"/>
          <w:sz w:val="18"/>
          <w:szCs w:val="18"/>
          <w:lang w:eastAsia="es-CO"/>
        </w:rPr>
        <w:fldChar w:fldCharType="end"/>
      </w:r>
      <w:bookmarkEnd w:id="60"/>
      <w:r w:rsidRPr="00D2718B">
        <w:rPr>
          <w:rFonts w:ascii="Segoe UI" w:eastAsia="Times New Roman" w:hAnsi="Segoe UI" w:cs="Segoe UI"/>
          <w:color w:val="000000"/>
          <w:sz w:val="20"/>
          <w:szCs w:val="20"/>
          <w:lang w:eastAsia="es-CO"/>
        </w:rPr>
        <w:t> Expediente 16531, C.P. Hugo Fernando Bastidas Bárcenas.</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20"/>
          <w:szCs w:val="20"/>
          <w:lang w:eastAsia="es-CO"/>
        </w:rPr>
        <w:t> </w:t>
      </w:r>
    </w:p>
    <w:bookmarkStart w:id="61" w:name="_ftn17"/>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Arial" w:eastAsia="Times New Roman" w:hAnsi="Arial" w:cs="Arial"/>
          <w:color w:val="000000"/>
          <w:sz w:val="18"/>
          <w:szCs w:val="18"/>
          <w:lang w:eastAsia="es-CO"/>
        </w:rPr>
        <w:fldChar w:fldCharType="begin"/>
      </w:r>
      <w:r w:rsidRPr="00D2718B">
        <w:rPr>
          <w:rFonts w:ascii="Arial" w:eastAsia="Times New Roman" w:hAnsi="Arial" w:cs="Arial"/>
          <w:color w:val="000000"/>
          <w:sz w:val="18"/>
          <w:szCs w:val="18"/>
          <w:lang w:eastAsia="es-CO"/>
        </w:rPr>
        <w:instrText xml:space="preserve"> HYPERLINK "http://www.ceta.org.co/html/vista_de_un_documento.asp?DocumentoID=28851" \l "_ftnref17" \o "" </w:instrText>
      </w:r>
      <w:r w:rsidRPr="00D2718B">
        <w:rPr>
          <w:rFonts w:ascii="Arial" w:eastAsia="Times New Roman" w:hAnsi="Arial" w:cs="Arial"/>
          <w:color w:val="000000"/>
          <w:sz w:val="18"/>
          <w:szCs w:val="18"/>
          <w:lang w:eastAsia="es-CO"/>
        </w:rPr>
        <w:fldChar w:fldCharType="separate"/>
      </w:r>
      <w:r w:rsidRPr="00D2718B">
        <w:rPr>
          <w:rFonts w:ascii="Segoe UI" w:eastAsia="Times New Roman" w:hAnsi="Segoe UI" w:cs="Segoe UI"/>
          <w:color w:val="0089E1"/>
          <w:sz w:val="20"/>
          <w:szCs w:val="20"/>
          <w:lang w:eastAsia="es-CO"/>
        </w:rPr>
        <w:t>[17]</w:t>
      </w:r>
      <w:r w:rsidRPr="00D2718B">
        <w:rPr>
          <w:rFonts w:ascii="Arial" w:eastAsia="Times New Roman" w:hAnsi="Arial" w:cs="Arial"/>
          <w:color w:val="000000"/>
          <w:sz w:val="18"/>
          <w:szCs w:val="18"/>
          <w:lang w:eastAsia="es-CO"/>
        </w:rPr>
        <w:fldChar w:fldCharType="end"/>
      </w:r>
      <w:bookmarkEnd w:id="61"/>
      <w:r w:rsidRPr="00D2718B">
        <w:rPr>
          <w:rFonts w:ascii="Segoe UI" w:eastAsia="Times New Roman" w:hAnsi="Segoe UI" w:cs="Segoe UI"/>
          <w:color w:val="000000"/>
          <w:sz w:val="20"/>
          <w:szCs w:val="20"/>
          <w:lang w:eastAsia="es-CO"/>
        </w:rPr>
        <w:t xml:space="preserve"> Folios 182 a 185 </w:t>
      </w:r>
      <w:proofErr w:type="spellStart"/>
      <w:r w:rsidRPr="00D2718B">
        <w:rPr>
          <w:rFonts w:ascii="Segoe UI" w:eastAsia="Times New Roman" w:hAnsi="Segoe UI" w:cs="Segoe UI"/>
          <w:color w:val="000000"/>
          <w:sz w:val="20"/>
          <w:szCs w:val="20"/>
          <w:lang w:eastAsia="es-CO"/>
        </w:rPr>
        <w:t>c.ppal</w:t>
      </w:r>
      <w:proofErr w:type="spellEnd"/>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20"/>
          <w:szCs w:val="20"/>
          <w:lang w:eastAsia="es-CO"/>
        </w:rPr>
        <w:t> </w:t>
      </w:r>
    </w:p>
    <w:bookmarkStart w:id="62" w:name="_ftn18"/>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Arial" w:eastAsia="Times New Roman" w:hAnsi="Arial" w:cs="Arial"/>
          <w:color w:val="000000"/>
          <w:sz w:val="18"/>
          <w:szCs w:val="18"/>
          <w:lang w:eastAsia="es-CO"/>
        </w:rPr>
        <w:fldChar w:fldCharType="begin"/>
      </w:r>
      <w:r w:rsidRPr="00D2718B">
        <w:rPr>
          <w:rFonts w:ascii="Arial" w:eastAsia="Times New Roman" w:hAnsi="Arial" w:cs="Arial"/>
          <w:color w:val="000000"/>
          <w:sz w:val="18"/>
          <w:szCs w:val="18"/>
          <w:lang w:eastAsia="es-CO"/>
        </w:rPr>
        <w:instrText xml:space="preserve"> HYPERLINK "http://www.ceta.org.co/html/vista_de_un_documento.asp?DocumentoID=28851" \l "_ftnref18" \o "" </w:instrText>
      </w:r>
      <w:r w:rsidRPr="00D2718B">
        <w:rPr>
          <w:rFonts w:ascii="Arial" w:eastAsia="Times New Roman" w:hAnsi="Arial" w:cs="Arial"/>
          <w:color w:val="000000"/>
          <w:sz w:val="18"/>
          <w:szCs w:val="18"/>
          <w:lang w:eastAsia="es-CO"/>
        </w:rPr>
        <w:fldChar w:fldCharType="separate"/>
      </w:r>
      <w:r w:rsidRPr="00D2718B">
        <w:rPr>
          <w:rFonts w:ascii="Segoe UI" w:eastAsia="Times New Roman" w:hAnsi="Segoe UI" w:cs="Segoe UI"/>
          <w:color w:val="0089E1"/>
          <w:sz w:val="20"/>
          <w:szCs w:val="20"/>
          <w:lang w:eastAsia="es-CO"/>
        </w:rPr>
        <w:t>[18]</w:t>
      </w:r>
      <w:r w:rsidRPr="00D2718B">
        <w:rPr>
          <w:rFonts w:ascii="Arial" w:eastAsia="Times New Roman" w:hAnsi="Arial" w:cs="Arial"/>
          <w:color w:val="000000"/>
          <w:sz w:val="18"/>
          <w:szCs w:val="18"/>
          <w:lang w:eastAsia="es-CO"/>
        </w:rPr>
        <w:fldChar w:fldCharType="end"/>
      </w:r>
      <w:bookmarkEnd w:id="62"/>
      <w:r w:rsidRPr="00D2718B">
        <w:rPr>
          <w:rFonts w:ascii="Segoe UI" w:eastAsia="Times New Roman" w:hAnsi="Segoe UI" w:cs="Segoe UI"/>
          <w:color w:val="000000"/>
          <w:sz w:val="20"/>
          <w:szCs w:val="20"/>
          <w:lang w:eastAsia="es-CO"/>
        </w:rPr>
        <w:t> Folio 11 c.a.1.</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20"/>
          <w:szCs w:val="20"/>
          <w:lang w:eastAsia="es-CO"/>
        </w:rPr>
        <w:t> </w:t>
      </w:r>
    </w:p>
    <w:bookmarkStart w:id="63" w:name="_ftn19"/>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Arial" w:eastAsia="Times New Roman" w:hAnsi="Arial" w:cs="Arial"/>
          <w:color w:val="000000"/>
          <w:sz w:val="18"/>
          <w:szCs w:val="18"/>
          <w:lang w:eastAsia="es-CO"/>
        </w:rPr>
        <w:fldChar w:fldCharType="begin"/>
      </w:r>
      <w:r w:rsidRPr="00D2718B">
        <w:rPr>
          <w:rFonts w:ascii="Arial" w:eastAsia="Times New Roman" w:hAnsi="Arial" w:cs="Arial"/>
          <w:color w:val="000000"/>
          <w:sz w:val="18"/>
          <w:szCs w:val="18"/>
          <w:lang w:eastAsia="es-CO"/>
        </w:rPr>
        <w:instrText xml:space="preserve"> HYPERLINK "http://www.ceta.org.co/html/vista_de_un_documento.asp?DocumentoID=28851" \l "_ftnref19" \o "" </w:instrText>
      </w:r>
      <w:r w:rsidRPr="00D2718B">
        <w:rPr>
          <w:rFonts w:ascii="Arial" w:eastAsia="Times New Roman" w:hAnsi="Arial" w:cs="Arial"/>
          <w:color w:val="000000"/>
          <w:sz w:val="18"/>
          <w:szCs w:val="18"/>
          <w:lang w:eastAsia="es-CO"/>
        </w:rPr>
        <w:fldChar w:fldCharType="separate"/>
      </w:r>
      <w:r w:rsidRPr="00D2718B">
        <w:rPr>
          <w:rFonts w:ascii="Segoe UI" w:eastAsia="Times New Roman" w:hAnsi="Segoe UI" w:cs="Segoe UI"/>
          <w:color w:val="0089E1"/>
          <w:sz w:val="20"/>
          <w:szCs w:val="20"/>
          <w:lang w:eastAsia="es-CO"/>
        </w:rPr>
        <w:t>[19]</w:t>
      </w:r>
      <w:r w:rsidRPr="00D2718B">
        <w:rPr>
          <w:rFonts w:ascii="Arial" w:eastAsia="Times New Roman" w:hAnsi="Arial" w:cs="Arial"/>
          <w:color w:val="000000"/>
          <w:sz w:val="18"/>
          <w:szCs w:val="18"/>
          <w:lang w:eastAsia="es-CO"/>
        </w:rPr>
        <w:fldChar w:fldCharType="end"/>
      </w:r>
      <w:bookmarkEnd w:id="63"/>
      <w:r w:rsidRPr="00D2718B">
        <w:rPr>
          <w:rFonts w:ascii="Segoe UI" w:eastAsia="Times New Roman" w:hAnsi="Segoe UI" w:cs="Segoe UI"/>
          <w:color w:val="000000"/>
          <w:sz w:val="20"/>
          <w:szCs w:val="20"/>
          <w:lang w:eastAsia="es-CO"/>
        </w:rPr>
        <w:t> Folio 55 c.a.1.</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20"/>
          <w:szCs w:val="20"/>
          <w:lang w:eastAsia="es-CO"/>
        </w:rPr>
        <w:t> </w:t>
      </w:r>
    </w:p>
    <w:bookmarkStart w:id="64" w:name="_ftn20"/>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Arial" w:eastAsia="Times New Roman" w:hAnsi="Arial" w:cs="Arial"/>
          <w:color w:val="000000"/>
          <w:sz w:val="18"/>
          <w:szCs w:val="18"/>
          <w:lang w:eastAsia="es-CO"/>
        </w:rPr>
        <w:fldChar w:fldCharType="begin"/>
      </w:r>
      <w:r w:rsidRPr="00D2718B">
        <w:rPr>
          <w:rFonts w:ascii="Arial" w:eastAsia="Times New Roman" w:hAnsi="Arial" w:cs="Arial"/>
          <w:color w:val="000000"/>
          <w:sz w:val="18"/>
          <w:szCs w:val="18"/>
          <w:lang w:eastAsia="es-CO"/>
        </w:rPr>
        <w:instrText xml:space="preserve"> HYPERLINK "http://www.ceta.org.co/html/vista_de_un_documento.asp?DocumentoID=28851" \l "_ftnref20" \o "" </w:instrText>
      </w:r>
      <w:r w:rsidRPr="00D2718B">
        <w:rPr>
          <w:rFonts w:ascii="Arial" w:eastAsia="Times New Roman" w:hAnsi="Arial" w:cs="Arial"/>
          <w:color w:val="000000"/>
          <w:sz w:val="18"/>
          <w:szCs w:val="18"/>
          <w:lang w:eastAsia="es-CO"/>
        </w:rPr>
        <w:fldChar w:fldCharType="separate"/>
      </w:r>
      <w:r w:rsidRPr="00D2718B">
        <w:rPr>
          <w:rFonts w:ascii="Segoe UI" w:eastAsia="Times New Roman" w:hAnsi="Segoe UI" w:cs="Segoe UI"/>
          <w:color w:val="0089E1"/>
          <w:sz w:val="20"/>
          <w:szCs w:val="20"/>
          <w:lang w:eastAsia="es-CO"/>
        </w:rPr>
        <w:t>[20]</w:t>
      </w:r>
      <w:r w:rsidRPr="00D2718B">
        <w:rPr>
          <w:rFonts w:ascii="Arial" w:eastAsia="Times New Roman" w:hAnsi="Arial" w:cs="Arial"/>
          <w:color w:val="000000"/>
          <w:sz w:val="18"/>
          <w:szCs w:val="18"/>
          <w:lang w:eastAsia="es-CO"/>
        </w:rPr>
        <w:fldChar w:fldCharType="end"/>
      </w:r>
      <w:bookmarkEnd w:id="64"/>
      <w:r w:rsidRPr="00D2718B">
        <w:rPr>
          <w:rFonts w:ascii="Segoe UI" w:eastAsia="Times New Roman" w:hAnsi="Segoe UI" w:cs="Segoe UI"/>
          <w:color w:val="000000"/>
          <w:sz w:val="20"/>
          <w:szCs w:val="20"/>
          <w:lang w:eastAsia="es-CO"/>
        </w:rPr>
        <w:t> Folios 38 y 39 c.a.2</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20"/>
          <w:szCs w:val="20"/>
          <w:lang w:eastAsia="es-CO"/>
        </w:rPr>
        <w:t> </w:t>
      </w:r>
    </w:p>
    <w:bookmarkStart w:id="65" w:name="_ftn21"/>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Arial" w:eastAsia="Times New Roman" w:hAnsi="Arial" w:cs="Arial"/>
          <w:color w:val="000000"/>
          <w:sz w:val="18"/>
          <w:szCs w:val="18"/>
          <w:lang w:eastAsia="es-CO"/>
        </w:rPr>
        <w:fldChar w:fldCharType="begin"/>
      </w:r>
      <w:r w:rsidRPr="00D2718B">
        <w:rPr>
          <w:rFonts w:ascii="Arial" w:eastAsia="Times New Roman" w:hAnsi="Arial" w:cs="Arial"/>
          <w:color w:val="000000"/>
          <w:sz w:val="18"/>
          <w:szCs w:val="18"/>
          <w:lang w:eastAsia="es-CO"/>
        </w:rPr>
        <w:instrText xml:space="preserve"> HYPERLINK "http://www.ceta.org.co/html/vista_de_un_documento.asp?DocumentoID=28851" \l "_ftnref21" \o "" </w:instrText>
      </w:r>
      <w:r w:rsidRPr="00D2718B">
        <w:rPr>
          <w:rFonts w:ascii="Arial" w:eastAsia="Times New Roman" w:hAnsi="Arial" w:cs="Arial"/>
          <w:color w:val="000000"/>
          <w:sz w:val="18"/>
          <w:szCs w:val="18"/>
          <w:lang w:eastAsia="es-CO"/>
        </w:rPr>
        <w:fldChar w:fldCharType="separate"/>
      </w:r>
      <w:r w:rsidRPr="00D2718B">
        <w:rPr>
          <w:rFonts w:ascii="Segoe UI" w:eastAsia="Times New Roman" w:hAnsi="Segoe UI" w:cs="Segoe UI"/>
          <w:color w:val="0089E1"/>
          <w:sz w:val="20"/>
          <w:szCs w:val="20"/>
          <w:lang w:eastAsia="es-CO"/>
        </w:rPr>
        <w:t>[21]</w:t>
      </w:r>
      <w:r w:rsidRPr="00D2718B">
        <w:rPr>
          <w:rFonts w:ascii="Arial" w:eastAsia="Times New Roman" w:hAnsi="Arial" w:cs="Arial"/>
          <w:color w:val="000000"/>
          <w:sz w:val="18"/>
          <w:szCs w:val="18"/>
          <w:lang w:eastAsia="es-CO"/>
        </w:rPr>
        <w:fldChar w:fldCharType="end"/>
      </w:r>
      <w:bookmarkEnd w:id="65"/>
      <w:r w:rsidRPr="00D2718B">
        <w:rPr>
          <w:rFonts w:ascii="Segoe UI" w:eastAsia="Times New Roman" w:hAnsi="Segoe UI" w:cs="Segoe UI"/>
          <w:color w:val="000000"/>
          <w:sz w:val="20"/>
          <w:szCs w:val="20"/>
          <w:lang w:eastAsia="es-CO"/>
        </w:rPr>
        <w:t> Folios 41 y 42 c.a.2</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20"/>
          <w:szCs w:val="20"/>
          <w:lang w:eastAsia="es-CO"/>
        </w:rPr>
        <w:t> </w:t>
      </w:r>
    </w:p>
    <w:bookmarkStart w:id="66" w:name="_ftn22"/>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Arial" w:eastAsia="Times New Roman" w:hAnsi="Arial" w:cs="Arial"/>
          <w:color w:val="000000"/>
          <w:sz w:val="18"/>
          <w:szCs w:val="18"/>
          <w:lang w:eastAsia="es-CO"/>
        </w:rPr>
        <w:fldChar w:fldCharType="begin"/>
      </w:r>
      <w:r w:rsidRPr="00D2718B">
        <w:rPr>
          <w:rFonts w:ascii="Arial" w:eastAsia="Times New Roman" w:hAnsi="Arial" w:cs="Arial"/>
          <w:color w:val="000000"/>
          <w:sz w:val="18"/>
          <w:szCs w:val="18"/>
          <w:lang w:eastAsia="es-CO"/>
        </w:rPr>
        <w:instrText xml:space="preserve"> HYPERLINK "http://www.ceta.org.co/html/vista_de_un_documento.asp?DocumentoID=28851" \l "_ftnref22" \o "" </w:instrText>
      </w:r>
      <w:r w:rsidRPr="00D2718B">
        <w:rPr>
          <w:rFonts w:ascii="Arial" w:eastAsia="Times New Roman" w:hAnsi="Arial" w:cs="Arial"/>
          <w:color w:val="000000"/>
          <w:sz w:val="18"/>
          <w:szCs w:val="18"/>
          <w:lang w:eastAsia="es-CO"/>
        </w:rPr>
        <w:fldChar w:fldCharType="separate"/>
      </w:r>
      <w:r w:rsidRPr="00D2718B">
        <w:rPr>
          <w:rFonts w:ascii="Segoe UI" w:eastAsia="Times New Roman" w:hAnsi="Segoe UI" w:cs="Segoe UI"/>
          <w:color w:val="0089E1"/>
          <w:sz w:val="20"/>
          <w:szCs w:val="20"/>
          <w:lang w:eastAsia="es-CO"/>
        </w:rPr>
        <w:t>[22]</w:t>
      </w:r>
      <w:r w:rsidRPr="00D2718B">
        <w:rPr>
          <w:rFonts w:ascii="Arial" w:eastAsia="Times New Roman" w:hAnsi="Arial" w:cs="Arial"/>
          <w:color w:val="000000"/>
          <w:sz w:val="18"/>
          <w:szCs w:val="18"/>
          <w:lang w:eastAsia="es-CO"/>
        </w:rPr>
        <w:fldChar w:fldCharType="end"/>
      </w:r>
      <w:bookmarkEnd w:id="66"/>
      <w:r w:rsidRPr="00D2718B">
        <w:rPr>
          <w:rFonts w:ascii="Segoe UI" w:eastAsia="Times New Roman" w:hAnsi="Segoe UI" w:cs="Segoe UI"/>
          <w:color w:val="000000"/>
          <w:sz w:val="20"/>
          <w:szCs w:val="20"/>
          <w:lang w:eastAsia="es-CO"/>
        </w:rPr>
        <w:t> Folios 45 y 46 c.a.2</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20"/>
          <w:szCs w:val="20"/>
          <w:lang w:eastAsia="es-CO"/>
        </w:rPr>
        <w:t> </w:t>
      </w:r>
    </w:p>
    <w:bookmarkStart w:id="67" w:name="_ftn23"/>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Arial" w:eastAsia="Times New Roman" w:hAnsi="Arial" w:cs="Arial"/>
          <w:color w:val="000000"/>
          <w:sz w:val="18"/>
          <w:szCs w:val="18"/>
          <w:lang w:eastAsia="es-CO"/>
        </w:rPr>
        <w:fldChar w:fldCharType="begin"/>
      </w:r>
      <w:r w:rsidRPr="00D2718B">
        <w:rPr>
          <w:rFonts w:ascii="Arial" w:eastAsia="Times New Roman" w:hAnsi="Arial" w:cs="Arial"/>
          <w:color w:val="000000"/>
          <w:sz w:val="18"/>
          <w:szCs w:val="18"/>
          <w:lang w:eastAsia="es-CO"/>
        </w:rPr>
        <w:instrText xml:space="preserve"> HYPERLINK "http://www.ceta.org.co/html/vista_de_un_documento.asp?DocumentoID=28851" \l "_ftnref23" \o "" </w:instrText>
      </w:r>
      <w:r w:rsidRPr="00D2718B">
        <w:rPr>
          <w:rFonts w:ascii="Arial" w:eastAsia="Times New Roman" w:hAnsi="Arial" w:cs="Arial"/>
          <w:color w:val="000000"/>
          <w:sz w:val="18"/>
          <w:szCs w:val="18"/>
          <w:lang w:eastAsia="es-CO"/>
        </w:rPr>
        <w:fldChar w:fldCharType="separate"/>
      </w:r>
      <w:r w:rsidRPr="00D2718B">
        <w:rPr>
          <w:rFonts w:ascii="Segoe UI" w:eastAsia="Times New Roman" w:hAnsi="Segoe UI" w:cs="Segoe UI"/>
          <w:color w:val="0089E1"/>
          <w:sz w:val="20"/>
          <w:szCs w:val="20"/>
          <w:lang w:eastAsia="es-CO"/>
        </w:rPr>
        <w:t>[23]</w:t>
      </w:r>
      <w:r w:rsidRPr="00D2718B">
        <w:rPr>
          <w:rFonts w:ascii="Arial" w:eastAsia="Times New Roman" w:hAnsi="Arial" w:cs="Arial"/>
          <w:color w:val="000000"/>
          <w:sz w:val="18"/>
          <w:szCs w:val="18"/>
          <w:lang w:eastAsia="es-CO"/>
        </w:rPr>
        <w:fldChar w:fldCharType="end"/>
      </w:r>
      <w:bookmarkEnd w:id="67"/>
      <w:r w:rsidRPr="00D2718B">
        <w:rPr>
          <w:rFonts w:ascii="Segoe UI" w:eastAsia="Times New Roman" w:hAnsi="Segoe UI" w:cs="Segoe UI"/>
          <w:color w:val="000000"/>
          <w:sz w:val="20"/>
          <w:szCs w:val="20"/>
          <w:lang w:eastAsia="es-CO"/>
        </w:rPr>
        <w:t> Folios 48, 49, 54, 55, 62, 63, 66, 67, 70 y 71 c.a.2</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20"/>
          <w:szCs w:val="20"/>
          <w:lang w:eastAsia="es-CO"/>
        </w:rPr>
        <w:t> </w:t>
      </w:r>
    </w:p>
    <w:bookmarkStart w:id="68" w:name="_ftn24"/>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Arial" w:eastAsia="Times New Roman" w:hAnsi="Arial" w:cs="Arial"/>
          <w:color w:val="000000"/>
          <w:sz w:val="18"/>
          <w:szCs w:val="18"/>
          <w:lang w:eastAsia="es-CO"/>
        </w:rPr>
        <w:fldChar w:fldCharType="begin"/>
      </w:r>
      <w:r w:rsidRPr="00D2718B">
        <w:rPr>
          <w:rFonts w:ascii="Arial" w:eastAsia="Times New Roman" w:hAnsi="Arial" w:cs="Arial"/>
          <w:color w:val="000000"/>
          <w:sz w:val="18"/>
          <w:szCs w:val="18"/>
          <w:lang w:eastAsia="es-CO"/>
        </w:rPr>
        <w:instrText xml:space="preserve"> HYPERLINK "http://www.ceta.org.co/html/vista_de_un_documento.asp?DocumentoID=28851" \l "_ftnref24" \o "" </w:instrText>
      </w:r>
      <w:r w:rsidRPr="00D2718B">
        <w:rPr>
          <w:rFonts w:ascii="Arial" w:eastAsia="Times New Roman" w:hAnsi="Arial" w:cs="Arial"/>
          <w:color w:val="000000"/>
          <w:sz w:val="18"/>
          <w:szCs w:val="18"/>
          <w:lang w:eastAsia="es-CO"/>
        </w:rPr>
        <w:fldChar w:fldCharType="separate"/>
      </w:r>
      <w:r w:rsidRPr="00D2718B">
        <w:rPr>
          <w:rFonts w:ascii="Segoe UI" w:eastAsia="Times New Roman" w:hAnsi="Segoe UI" w:cs="Segoe UI"/>
          <w:color w:val="0089E1"/>
          <w:sz w:val="20"/>
          <w:szCs w:val="20"/>
          <w:lang w:eastAsia="es-CO"/>
        </w:rPr>
        <w:t>[24]</w:t>
      </w:r>
      <w:r w:rsidRPr="00D2718B">
        <w:rPr>
          <w:rFonts w:ascii="Arial" w:eastAsia="Times New Roman" w:hAnsi="Arial" w:cs="Arial"/>
          <w:color w:val="000000"/>
          <w:sz w:val="18"/>
          <w:szCs w:val="18"/>
          <w:lang w:eastAsia="es-CO"/>
        </w:rPr>
        <w:fldChar w:fldCharType="end"/>
      </w:r>
      <w:bookmarkEnd w:id="68"/>
      <w:r w:rsidRPr="00D2718B">
        <w:rPr>
          <w:rFonts w:ascii="Segoe UI" w:eastAsia="Times New Roman" w:hAnsi="Segoe UI" w:cs="Segoe UI"/>
          <w:color w:val="000000"/>
          <w:sz w:val="20"/>
          <w:szCs w:val="20"/>
          <w:lang w:eastAsia="es-CO"/>
        </w:rPr>
        <w:t> Folios 37 y 47 c.a.2</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20"/>
          <w:szCs w:val="20"/>
          <w:lang w:eastAsia="es-CO"/>
        </w:rPr>
        <w:t> </w:t>
      </w:r>
    </w:p>
    <w:bookmarkStart w:id="69" w:name="_ftn25"/>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Arial" w:eastAsia="Times New Roman" w:hAnsi="Arial" w:cs="Arial"/>
          <w:color w:val="000000"/>
          <w:sz w:val="18"/>
          <w:szCs w:val="18"/>
          <w:lang w:eastAsia="es-CO"/>
        </w:rPr>
        <w:fldChar w:fldCharType="begin"/>
      </w:r>
      <w:r w:rsidRPr="00D2718B">
        <w:rPr>
          <w:rFonts w:ascii="Arial" w:eastAsia="Times New Roman" w:hAnsi="Arial" w:cs="Arial"/>
          <w:color w:val="000000"/>
          <w:sz w:val="18"/>
          <w:szCs w:val="18"/>
          <w:lang w:eastAsia="es-CO"/>
        </w:rPr>
        <w:instrText xml:space="preserve"> HYPERLINK "http://www.ceta.org.co/html/vista_de_un_documento.asp?DocumentoID=28851" \l "_ftnref25" \o "" </w:instrText>
      </w:r>
      <w:r w:rsidRPr="00D2718B">
        <w:rPr>
          <w:rFonts w:ascii="Arial" w:eastAsia="Times New Roman" w:hAnsi="Arial" w:cs="Arial"/>
          <w:color w:val="000000"/>
          <w:sz w:val="18"/>
          <w:szCs w:val="18"/>
          <w:lang w:eastAsia="es-CO"/>
        </w:rPr>
        <w:fldChar w:fldCharType="separate"/>
      </w:r>
      <w:r w:rsidRPr="00D2718B">
        <w:rPr>
          <w:rFonts w:ascii="Segoe UI" w:eastAsia="Times New Roman" w:hAnsi="Segoe UI" w:cs="Segoe UI"/>
          <w:color w:val="0089E1"/>
          <w:sz w:val="20"/>
          <w:szCs w:val="20"/>
          <w:lang w:eastAsia="es-CO"/>
        </w:rPr>
        <w:t>[25]</w:t>
      </w:r>
      <w:r w:rsidRPr="00D2718B">
        <w:rPr>
          <w:rFonts w:ascii="Arial" w:eastAsia="Times New Roman" w:hAnsi="Arial" w:cs="Arial"/>
          <w:color w:val="000000"/>
          <w:sz w:val="18"/>
          <w:szCs w:val="18"/>
          <w:lang w:eastAsia="es-CO"/>
        </w:rPr>
        <w:fldChar w:fldCharType="end"/>
      </w:r>
      <w:bookmarkEnd w:id="69"/>
      <w:r w:rsidRPr="00D2718B">
        <w:rPr>
          <w:rFonts w:ascii="Segoe UI" w:eastAsia="Times New Roman" w:hAnsi="Segoe UI" w:cs="Segoe UI"/>
          <w:color w:val="000000"/>
          <w:sz w:val="20"/>
          <w:szCs w:val="20"/>
          <w:lang w:eastAsia="es-CO"/>
        </w:rPr>
        <w:t> Folio 40 c.a.2</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20"/>
          <w:szCs w:val="20"/>
          <w:lang w:eastAsia="es-CO"/>
        </w:rPr>
        <w:t> </w:t>
      </w:r>
    </w:p>
    <w:bookmarkStart w:id="70" w:name="_ftn26"/>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Arial" w:eastAsia="Times New Roman" w:hAnsi="Arial" w:cs="Arial"/>
          <w:color w:val="000000"/>
          <w:sz w:val="18"/>
          <w:szCs w:val="18"/>
          <w:lang w:eastAsia="es-CO"/>
        </w:rPr>
        <w:fldChar w:fldCharType="begin"/>
      </w:r>
      <w:r w:rsidRPr="00D2718B">
        <w:rPr>
          <w:rFonts w:ascii="Arial" w:eastAsia="Times New Roman" w:hAnsi="Arial" w:cs="Arial"/>
          <w:color w:val="000000"/>
          <w:sz w:val="18"/>
          <w:szCs w:val="18"/>
          <w:lang w:eastAsia="es-CO"/>
        </w:rPr>
        <w:instrText xml:space="preserve"> HYPERLINK "http://www.ceta.org.co/html/vista_de_un_documento.asp?DocumentoID=28851" \l "_ftnref26" \o "" </w:instrText>
      </w:r>
      <w:r w:rsidRPr="00D2718B">
        <w:rPr>
          <w:rFonts w:ascii="Arial" w:eastAsia="Times New Roman" w:hAnsi="Arial" w:cs="Arial"/>
          <w:color w:val="000000"/>
          <w:sz w:val="18"/>
          <w:szCs w:val="18"/>
          <w:lang w:eastAsia="es-CO"/>
        </w:rPr>
        <w:fldChar w:fldCharType="separate"/>
      </w:r>
      <w:r w:rsidRPr="00D2718B">
        <w:rPr>
          <w:rFonts w:ascii="Segoe UI" w:eastAsia="Times New Roman" w:hAnsi="Segoe UI" w:cs="Segoe UI"/>
          <w:color w:val="0089E1"/>
          <w:sz w:val="20"/>
          <w:szCs w:val="20"/>
          <w:lang w:eastAsia="es-CO"/>
        </w:rPr>
        <w:t>[26]</w:t>
      </w:r>
      <w:r w:rsidRPr="00D2718B">
        <w:rPr>
          <w:rFonts w:ascii="Arial" w:eastAsia="Times New Roman" w:hAnsi="Arial" w:cs="Arial"/>
          <w:color w:val="000000"/>
          <w:sz w:val="18"/>
          <w:szCs w:val="18"/>
          <w:lang w:eastAsia="es-CO"/>
        </w:rPr>
        <w:fldChar w:fldCharType="end"/>
      </w:r>
      <w:bookmarkEnd w:id="70"/>
      <w:r w:rsidRPr="00D2718B">
        <w:rPr>
          <w:rFonts w:ascii="Segoe UI" w:eastAsia="Times New Roman" w:hAnsi="Segoe UI" w:cs="Segoe UI"/>
          <w:color w:val="000000"/>
          <w:sz w:val="20"/>
          <w:szCs w:val="20"/>
          <w:lang w:eastAsia="es-CO"/>
        </w:rPr>
        <w:t> Folio 44 c.a.2</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20"/>
          <w:szCs w:val="20"/>
          <w:lang w:eastAsia="es-CO"/>
        </w:rPr>
        <w:t> </w:t>
      </w:r>
    </w:p>
    <w:bookmarkStart w:id="71" w:name="_ftn27"/>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Arial" w:eastAsia="Times New Roman" w:hAnsi="Arial" w:cs="Arial"/>
          <w:color w:val="000000"/>
          <w:sz w:val="18"/>
          <w:szCs w:val="18"/>
          <w:lang w:eastAsia="es-CO"/>
        </w:rPr>
        <w:fldChar w:fldCharType="begin"/>
      </w:r>
      <w:r w:rsidRPr="00D2718B">
        <w:rPr>
          <w:rFonts w:ascii="Arial" w:eastAsia="Times New Roman" w:hAnsi="Arial" w:cs="Arial"/>
          <w:color w:val="000000"/>
          <w:sz w:val="18"/>
          <w:szCs w:val="18"/>
          <w:lang w:eastAsia="es-CO"/>
        </w:rPr>
        <w:instrText xml:space="preserve"> HYPERLINK "http://www.ceta.org.co/html/vista_de_un_documento.asp?DocumentoID=28851" \l "_ftnref27" \o "" </w:instrText>
      </w:r>
      <w:r w:rsidRPr="00D2718B">
        <w:rPr>
          <w:rFonts w:ascii="Arial" w:eastAsia="Times New Roman" w:hAnsi="Arial" w:cs="Arial"/>
          <w:color w:val="000000"/>
          <w:sz w:val="18"/>
          <w:szCs w:val="18"/>
          <w:lang w:eastAsia="es-CO"/>
        </w:rPr>
        <w:fldChar w:fldCharType="separate"/>
      </w:r>
      <w:r w:rsidRPr="00D2718B">
        <w:rPr>
          <w:rFonts w:ascii="Segoe UI" w:eastAsia="Times New Roman" w:hAnsi="Segoe UI" w:cs="Segoe UI"/>
          <w:color w:val="0089E1"/>
          <w:sz w:val="20"/>
          <w:szCs w:val="20"/>
          <w:lang w:eastAsia="es-CO"/>
        </w:rPr>
        <w:t>[27]</w:t>
      </w:r>
      <w:r w:rsidRPr="00D2718B">
        <w:rPr>
          <w:rFonts w:ascii="Arial" w:eastAsia="Times New Roman" w:hAnsi="Arial" w:cs="Arial"/>
          <w:color w:val="000000"/>
          <w:sz w:val="18"/>
          <w:szCs w:val="18"/>
          <w:lang w:eastAsia="es-CO"/>
        </w:rPr>
        <w:fldChar w:fldCharType="end"/>
      </w:r>
      <w:bookmarkEnd w:id="71"/>
      <w:r w:rsidRPr="00D2718B">
        <w:rPr>
          <w:rFonts w:ascii="Segoe UI" w:eastAsia="Times New Roman" w:hAnsi="Segoe UI" w:cs="Segoe UI"/>
          <w:color w:val="000000"/>
          <w:sz w:val="20"/>
          <w:szCs w:val="20"/>
          <w:lang w:eastAsia="es-CO"/>
        </w:rPr>
        <w:t> Folios 50 a 53 c.a.2</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20"/>
          <w:szCs w:val="20"/>
          <w:lang w:eastAsia="es-CO"/>
        </w:rPr>
        <w:t> </w:t>
      </w:r>
    </w:p>
    <w:bookmarkStart w:id="72" w:name="_ftn28"/>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Arial" w:eastAsia="Times New Roman" w:hAnsi="Arial" w:cs="Arial"/>
          <w:color w:val="000000"/>
          <w:sz w:val="18"/>
          <w:szCs w:val="18"/>
          <w:lang w:eastAsia="es-CO"/>
        </w:rPr>
        <w:fldChar w:fldCharType="begin"/>
      </w:r>
      <w:r w:rsidRPr="00D2718B">
        <w:rPr>
          <w:rFonts w:ascii="Arial" w:eastAsia="Times New Roman" w:hAnsi="Arial" w:cs="Arial"/>
          <w:color w:val="000000"/>
          <w:sz w:val="18"/>
          <w:szCs w:val="18"/>
          <w:lang w:eastAsia="es-CO"/>
        </w:rPr>
        <w:instrText xml:space="preserve"> HYPERLINK "http://www.ceta.org.co/html/vista_de_un_documento.asp?DocumentoID=28851" \l "_ftnref28" \o "" </w:instrText>
      </w:r>
      <w:r w:rsidRPr="00D2718B">
        <w:rPr>
          <w:rFonts w:ascii="Arial" w:eastAsia="Times New Roman" w:hAnsi="Arial" w:cs="Arial"/>
          <w:color w:val="000000"/>
          <w:sz w:val="18"/>
          <w:szCs w:val="18"/>
          <w:lang w:eastAsia="es-CO"/>
        </w:rPr>
        <w:fldChar w:fldCharType="separate"/>
      </w:r>
      <w:r w:rsidRPr="00D2718B">
        <w:rPr>
          <w:rFonts w:ascii="Segoe UI" w:eastAsia="Times New Roman" w:hAnsi="Segoe UI" w:cs="Segoe UI"/>
          <w:color w:val="0089E1"/>
          <w:sz w:val="20"/>
          <w:szCs w:val="20"/>
          <w:lang w:eastAsia="es-CO"/>
        </w:rPr>
        <w:t>[28]</w:t>
      </w:r>
      <w:r w:rsidRPr="00D2718B">
        <w:rPr>
          <w:rFonts w:ascii="Arial" w:eastAsia="Times New Roman" w:hAnsi="Arial" w:cs="Arial"/>
          <w:color w:val="000000"/>
          <w:sz w:val="18"/>
          <w:szCs w:val="18"/>
          <w:lang w:eastAsia="es-CO"/>
        </w:rPr>
        <w:fldChar w:fldCharType="end"/>
      </w:r>
      <w:bookmarkEnd w:id="72"/>
      <w:r w:rsidRPr="00D2718B">
        <w:rPr>
          <w:rFonts w:ascii="Segoe UI" w:eastAsia="Times New Roman" w:hAnsi="Segoe UI" w:cs="Segoe UI"/>
          <w:color w:val="000000"/>
          <w:sz w:val="20"/>
          <w:szCs w:val="20"/>
          <w:lang w:eastAsia="es-CO"/>
        </w:rPr>
        <w:t> Folios 56 a 61 c.a.2</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20"/>
          <w:szCs w:val="20"/>
          <w:lang w:eastAsia="es-CO"/>
        </w:rPr>
        <w:t> </w:t>
      </w:r>
    </w:p>
    <w:bookmarkStart w:id="73" w:name="_ftn29"/>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Arial" w:eastAsia="Times New Roman" w:hAnsi="Arial" w:cs="Arial"/>
          <w:color w:val="000000"/>
          <w:sz w:val="18"/>
          <w:szCs w:val="18"/>
          <w:lang w:eastAsia="es-CO"/>
        </w:rPr>
        <w:fldChar w:fldCharType="begin"/>
      </w:r>
      <w:r w:rsidRPr="00D2718B">
        <w:rPr>
          <w:rFonts w:ascii="Arial" w:eastAsia="Times New Roman" w:hAnsi="Arial" w:cs="Arial"/>
          <w:color w:val="000000"/>
          <w:sz w:val="18"/>
          <w:szCs w:val="18"/>
          <w:lang w:eastAsia="es-CO"/>
        </w:rPr>
        <w:instrText xml:space="preserve"> HYPERLINK "http://www.ceta.org.co/html/vista_de_un_documento.asp?DocumentoID=28851" \l "_ftnref29" \o "" </w:instrText>
      </w:r>
      <w:r w:rsidRPr="00D2718B">
        <w:rPr>
          <w:rFonts w:ascii="Arial" w:eastAsia="Times New Roman" w:hAnsi="Arial" w:cs="Arial"/>
          <w:color w:val="000000"/>
          <w:sz w:val="18"/>
          <w:szCs w:val="18"/>
          <w:lang w:eastAsia="es-CO"/>
        </w:rPr>
        <w:fldChar w:fldCharType="separate"/>
      </w:r>
      <w:r w:rsidRPr="00D2718B">
        <w:rPr>
          <w:rFonts w:ascii="Segoe UI" w:eastAsia="Times New Roman" w:hAnsi="Segoe UI" w:cs="Segoe UI"/>
          <w:color w:val="0089E1"/>
          <w:sz w:val="20"/>
          <w:szCs w:val="20"/>
          <w:lang w:eastAsia="es-CO"/>
        </w:rPr>
        <w:t>[29]</w:t>
      </w:r>
      <w:r w:rsidRPr="00D2718B">
        <w:rPr>
          <w:rFonts w:ascii="Arial" w:eastAsia="Times New Roman" w:hAnsi="Arial" w:cs="Arial"/>
          <w:color w:val="000000"/>
          <w:sz w:val="18"/>
          <w:szCs w:val="18"/>
          <w:lang w:eastAsia="es-CO"/>
        </w:rPr>
        <w:fldChar w:fldCharType="end"/>
      </w:r>
      <w:bookmarkEnd w:id="73"/>
      <w:r w:rsidRPr="00D2718B">
        <w:rPr>
          <w:rFonts w:ascii="Segoe UI" w:eastAsia="Times New Roman" w:hAnsi="Segoe UI" w:cs="Segoe UI"/>
          <w:color w:val="000000"/>
          <w:sz w:val="20"/>
          <w:szCs w:val="20"/>
          <w:lang w:eastAsia="es-CO"/>
        </w:rPr>
        <w:t> Folios 64 y 65 c.a.2</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20"/>
          <w:szCs w:val="20"/>
          <w:lang w:eastAsia="es-CO"/>
        </w:rPr>
        <w:t> </w:t>
      </w:r>
    </w:p>
    <w:bookmarkStart w:id="74" w:name="_ftn30"/>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Arial" w:eastAsia="Times New Roman" w:hAnsi="Arial" w:cs="Arial"/>
          <w:color w:val="000000"/>
          <w:sz w:val="18"/>
          <w:szCs w:val="18"/>
          <w:lang w:eastAsia="es-CO"/>
        </w:rPr>
        <w:fldChar w:fldCharType="begin"/>
      </w:r>
      <w:r w:rsidRPr="00D2718B">
        <w:rPr>
          <w:rFonts w:ascii="Arial" w:eastAsia="Times New Roman" w:hAnsi="Arial" w:cs="Arial"/>
          <w:color w:val="000000"/>
          <w:sz w:val="18"/>
          <w:szCs w:val="18"/>
          <w:lang w:eastAsia="es-CO"/>
        </w:rPr>
        <w:instrText xml:space="preserve"> HYPERLINK "http://www.ceta.org.co/html/vista_de_un_documento.asp?DocumentoID=28851" \l "_ftnref30" \o "" </w:instrText>
      </w:r>
      <w:r w:rsidRPr="00D2718B">
        <w:rPr>
          <w:rFonts w:ascii="Arial" w:eastAsia="Times New Roman" w:hAnsi="Arial" w:cs="Arial"/>
          <w:color w:val="000000"/>
          <w:sz w:val="18"/>
          <w:szCs w:val="18"/>
          <w:lang w:eastAsia="es-CO"/>
        </w:rPr>
        <w:fldChar w:fldCharType="separate"/>
      </w:r>
      <w:r w:rsidRPr="00D2718B">
        <w:rPr>
          <w:rFonts w:ascii="Segoe UI" w:eastAsia="Times New Roman" w:hAnsi="Segoe UI" w:cs="Segoe UI"/>
          <w:color w:val="0089E1"/>
          <w:sz w:val="20"/>
          <w:szCs w:val="20"/>
          <w:lang w:eastAsia="es-CO"/>
        </w:rPr>
        <w:t>[30]</w:t>
      </w:r>
      <w:r w:rsidRPr="00D2718B">
        <w:rPr>
          <w:rFonts w:ascii="Arial" w:eastAsia="Times New Roman" w:hAnsi="Arial" w:cs="Arial"/>
          <w:color w:val="000000"/>
          <w:sz w:val="18"/>
          <w:szCs w:val="18"/>
          <w:lang w:eastAsia="es-CO"/>
        </w:rPr>
        <w:fldChar w:fldCharType="end"/>
      </w:r>
      <w:bookmarkEnd w:id="74"/>
      <w:r w:rsidRPr="00D2718B">
        <w:rPr>
          <w:rFonts w:ascii="Segoe UI" w:eastAsia="Times New Roman" w:hAnsi="Segoe UI" w:cs="Segoe UI"/>
          <w:color w:val="000000"/>
          <w:sz w:val="20"/>
          <w:szCs w:val="20"/>
          <w:lang w:eastAsia="es-CO"/>
        </w:rPr>
        <w:t> Folios 68 y 69 c.a.2</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20"/>
          <w:szCs w:val="20"/>
          <w:lang w:eastAsia="es-CO"/>
        </w:rPr>
        <w:t> </w:t>
      </w:r>
    </w:p>
    <w:bookmarkStart w:id="75" w:name="_ftn31"/>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Arial" w:eastAsia="Times New Roman" w:hAnsi="Arial" w:cs="Arial"/>
          <w:color w:val="000000"/>
          <w:sz w:val="18"/>
          <w:szCs w:val="18"/>
          <w:lang w:eastAsia="es-CO"/>
        </w:rPr>
        <w:fldChar w:fldCharType="begin"/>
      </w:r>
      <w:r w:rsidRPr="00D2718B">
        <w:rPr>
          <w:rFonts w:ascii="Arial" w:eastAsia="Times New Roman" w:hAnsi="Arial" w:cs="Arial"/>
          <w:color w:val="000000"/>
          <w:sz w:val="18"/>
          <w:szCs w:val="18"/>
          <w:lang w:eastAsia="es-CO"/>
        </w:rPr>
        <w:instrText xml:space="preserve"> HYPERLINK "http://www.ceta.org.co/html/vista_de_un_documento.asp?DocumentoID=28851" \l "_ftnref31" \o "" </w:instrText>
      </w:r>
      <w:r w:rsidRPr="00D2718B">
        <w:rPr>
          <w:rFonts w:ascii="Arial" w:eastAsia="Times New Roman" w:hAnsi="Arial" w:cs="Arial"/>
          <w:color w:val="000000"/>
          <w:sz w:val="18"/>
          <w:szCs w:val="18"/>
          <w:lang w:eastAsia="es-CO"/>
        </w:rPr>
        <w:fldChar w:fldCharType="separate"/>
      </w:r>
      <w:r w:rsidRPr="00D2718B">
        <w:rPr>
          <w:rFonts w:ascii="Segoe UI" w:eastAsia="Times New Roman" w:hAnsi="Segoe UI" w:cs="Segoe UI"/>
          <w:color w:val="0089E1"/>
          <w:sz w:val="20"/>
          <w:szCs w:val="20"/>
          <w:lang w:eastAsia="es-CO"/>
        </w:rPr>
        <w:t>[31]</w:t>
      </w:r>
      <w:r w:rsidRPr="00D2718B">
        <w:rPr>
          <w:rFonts w:ascii="Arial" w:eastAsia="Times New Roman" w:hAnsi="Arial" w:cs="Arial"/>
          <w:color w:val="000000"/>
          <w:sz w:val="18"/>
          <w:szCs w:val="18"/>
          <w:lang w:eastAsia="es-CO"/>
        </w:rPr>
        <w:fldChar w:fldCharType="end"/>
      </w:r>
      <w:bookmarkEnd w:id="75"/>
      <w:r w:rsidRPr="00D2718B">
        <w:rPr>
          <w:rFonts w:ascii="Segoe UI" w:eastAsia="Times New Roman" w:hAnsi="Segoe UI" w:cs="Segoe UI"/>
          <w:color w:val="000000"/>
          <w:sz w:val="20"/>
          <w:szCs w:val="20"/>
          <w:lang w:eastAsia="es-CO"/>
        </w:rPr>
        <w:t> Folios 79 a 81 c.a.1</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20"/>
          <w:szCs w:val="20"/>
          <w:lang w:eastAsia="es-CO"/>
        </w:rPr>
        <w:t> </w:t>
      </w:r>
    </w:p>
    <w:bookmarkStart w:id="76" w:name="_ftn32"/>
    <w:p w:rsidR="00D2718B" w:rsidRPr="00D2718B" w:rsidRDefault="00D2718B" w:rsidP="00D2718B">
      <w:pPr>
        <w:spacing w:after="0" w:line="240" w:lineRule="auto"/>
        <w:jc w:val="both"/>
        <w:rPr>
          <w:rFonts w:eastAsia="Times New Roman" w:cs="Times New Roman"/>
          <w:color w:val="000000"/>
          <w:szCs w:val="24"/>
          <w:lang w:eastAsia="es-CO"/>
        </w:rPr>
      </w:pPr>
      <w:r w:rsidRPr="00D2718B">
        <w:rPr>
          <w:rFonts w:eastAsia="Times New Roman" w:cs="Times New Roman"/>
          <w:color w:val="000000"/>
          <w:szCs w:val="24"/>
          <w:lang w:eastAsia="es-CO"/>
        </w:rPr>
        <w:fldChar w:fldCharType="begin"/>
      </w:r>
      <w:r w:rsidRPr="00D2718B">
        <w:rPr>
          <w:rFonts w:eastAsia="Times New Roman" w:cs="Times New Roman"/>
          <w:color w:val="000000"/>
          <w:szCs w:val="24"/>
          <w:lang w:eastAsia="es-CO"/>
        </w:rPr>
        <w:instrText xml:space="preserve"> HYPERLINK "http://www.ceta.org.co/html/vista_de_un_documento.asp?DocumentoID=28851" \l "_ftnref32" \o "" </w:instrText>
      </w:r>
      <w:r w:rsidRPr="00D2718B">
        <w:rPr>
          <w:rFonts w:eastAsia="Times New Roman" w:cs="Times New Roman"/>
          <w:color w:val="000000"/>
          <w:szCs w:val="24"/>
          <w:lang w:eastAsia="es-CO"/>
        </w:rPr>
        <w:fldChar w:fldCharType="separate"/>
      </w:r>
      <w:r w:rsidRPr="00D2718B">
        <w:rPr>
          <w:rFonts w:ascii="Segoe UI" w:eastAsia="Times New Roman" w:hAnsi="Segoe UI" w:cs="Segoe UI"/>
          <w:color w:val="0089E1"/>
          <w:sz w:val="20"/>
          <w:szCs w:val="20"/>
          <w:lang w:eastAsia="es-CO"/>
        </w:rPr>
        <w:t>[32]</w:t>
      </w:r>
      <w:r w:rsidRPr="00D2718B">
        <w:rPr>
          <w:rFonts w:eastAsia="Times New Roman" w:cs="Times New Roman"/>
          <w:color w:val="000000"/>
          <w:szCs w:val="24"/>
          <w:lang w:eastAsia="es-CO"/>
        </w:rPr>
        <w:fldChar w:fldCharType="end"/>
      </w:r>
      <w:bookmarkEnd w:id="76"/>
      <w:r w:rsidRPr="00D2718B">
        <w:rPr>
          <w:rFonts w:ascii="Segoe UI" w:eastAsia="Times New Roman" w:hAnsi="Segoe UI" w:cs="Segoe UI"/>
          <w:color w:val="000000"/>
          <w:sz w:val="20"/>
          <w:szCs w:val="20"/>
          <w:lang w:eastAsia="es-CO"/>
        </w:rPr>
        <w:t> </w:t>
      </w:r>
      <w:r w:rsidRPr="00D2718B">
        <w:rPr>
          <w:rFonts w:ascii="Segoe UI" w:eastAsia="Times New Roman" w:hAnsi="Segoe UI" w:cs="Segoe UI"/>
          <w:b/>
          <w:bCs/>
          <w:color w:val="000000"/>
          <w:sz w:val="20"/>
          <w:szCs w:val="20"/>
          <w:lang w:eastAsia="es-CO"/>
        </w:rPr>
        <w:t>“</w:t>
      </w:r>
      <w:hyperlink r:id="rId50" w:tooltip="Estatuto Tributario CETA" w:history="1">
        <w:r w:rsidRPr="00D2718B">
          <w:rPr>
            <w:rFonts w:ascii="Segoe UI" w:eastAsia="Times New Roman" w:hAnsi="Segoe UI" w:cs="Segoe UI"/>
            <w:b/>
            <w:bCs/>
            <w:i/>
            <w:iCs/>
            <w:color w:val="0089E1"/>
            <w:sz w:val="20"/>
            <w:szCs w:val="20"/>
            <w:lang w:eastAsia="es-CO"/>
          </w:rPr>
          <w:t>Artículo 177-2</w:t>
        </w:r>
      </w:hyperlink>
      <w:r w:rsidRPr="00D2718B">
        <w:rPr>
          <w:rFonts w:ascii="Segoe UI" w:eastAsia="Times New Roman" w:hAnsi="Segoe UI" w:cs="Segoe UI"/>
          <w:b/>
          <w:bCs/>
          <w:i/>
          <w:iCs/>
          <w:color w:val="000000"/>
          <w:sz w:val="20"/>
          <w:szCs w:val="20"/>
          <w:lang w:eastAsia="es-CO"/>
        </w:rPr>
        <w:t>. No aceptación de costos y gastos. &lt;Artículo adicionado por el artículo 4 de la Ley 863 de 2003&gt; </w:t>
      </w:r>
      <w:r w:rsidRPr="00D2718B">
        <w:rPr>
          <w:rFonts w:ascii="Segoe UI" w:eastAsia="Times New Roman" w:hAnsi="Segoe UI" w:cs="Segoe UI"/>
          <w:i/>
          <w:iCs/>
          <w:color w:val="000000"/>
          <w:sz w:val="20"/>
          <w:szCs w:val="20"/>
          <w:lang w:eastAsia="es-CO"/>
        </w:rPr>
        <w:t>No son aceptados como costo o gasto los siguientes pagos por concepto de operaciones gravadas con el IVA:</w:t>
      </w:r>
    </w:p>
    <w:p w:rsidR="00D2718B" w:rsidRPr="00D2718B" w:rsidRDefault="00D2718B" w:rsidP="00D2718B">
      <w:pPr>
        <w:spacing w:after="0" w:line="240" w:lineRule="auto"/>
        <w:jc w:val="both"/>
        <w:rPr>
          <w:rFonts w:eastAsia="Times New Roman" w:cs="Times New Roman"/>
          <w:color w:val="000000"/>
          <w:szCs w:val="24"/>
          <w:lang w:eastAsia="es-CO"/>
        </w:rPr>
      </w:pPr>
      <w:r w:rsidRPr="00D2718B">
        <w:rPr>
          <w:rFonts w:ascii="Segoe UI" w:eastAsia="Times New Roman" w:hAnsi="Segoe UI" w:cs="Segoe UI"/>
          <w:i/>
          <w:iCs/>
          <w:color w:val="000000"/>
          <w:sz w:val="20"/>
          <w:szCs w:val="20"/>
          <w:lang w:eastAsia="es-CO"/>
        </w:rPr>
        <w:t> </w:t>
      </w:r>
    </w:p>
    <w:p w:rsidR="00D2718B" w:rsidRPr="00D2718B" w:rsidRDefault="00D2718B" w:rsidP="00D2718B">
      <w:pPr>
        <w:spacing w:after="0" w:line="240" w:lineRule="auto"/>
        <w:jc w:val="both"/>
        <w:rPr>
          <w:rFonts w:eastAsia="Times New Roman" w:cs="Times New Roman"/>
          <w:color w:val="000000"/>
          <w:szCs w:val="24"/>
          <w:lang w:eastAsia="es-CO"/>
        </w:rPr>
      </w:pPr>
      <w:r w:rsidRPr="00D2718B">
        <w:rPr>
          <w:rFonts w:ascii="Segoe UI" w:eastAsia="Times New Roman" w:hAnsi="Segoe UI" w:cs="Segoe UI"/>
          <w:i/>
          <w:iCs/>
          <w:color w:val="000000"/>
          <w:sz w:val="20"/>
          <w:szCs w:val="20"/>
          <w:lang w:eastAsia="es-CO"/>
        </w:rPr>
        <w:t>a. Los que se realicen a personas no inscritas en el régimen común del impuesto sobre las ventas por contratos de valor individual y superior a sesenta millones de pesos ($60.000.000) (valor año base 2004) </w:t>
      </w:r>
      <w:r w:rsidRPr="00D2718B">
        <w:rPr>
          <w:rFonts w:ascii="Segoe UI" w:eastAsia="Times New Roman" w:hAnsi="Segoe UI" w:cs="Segoe UI"/>
          <w:b/>
          <w:bCs/>
          <w:i/>
          <w:iCs/>
          <w:color w:val="000000"/>
          <w:sz w:val="20"/>
          <w:szCs w:val="20"/>
          <w:lang w:eastAsia="es-CO"/>
        </w:rPr>
        <w:t>(3.300 UVT) </w:t>
      </w:r>
      <w:r w:rsidRPr="00D2718B">
        <w:rPr>
          <w:rFonts w:ascii="Segoe UI" w:eastAsia="Times New Roman" w:hAnsi="Segoe UI" w:cs="Segoe UI"/>
          <w:i/>
          <w:iCs/>
          <w:color w:val="000000"/>
          <w:sz w:val="20"/>
          <w:szCs w:val="20"/>
          <w:lang w:eastAsia="es-CO"/>
        </w:rPr>
        <w:t>en el respectivo período gravable;</w:t>
      </w:r>
    </w:p>
    <w:p w:rsidR="00D2718B" w:rsidRPr="00D2718B" w:rsidRDefault="00D2718B" w:rsidP="00D2718B">
      <w:pPr>
        <w:spacing w:after="0" w:line="240" w:lineRule="auto"/>
        <w:jc w:val="both"/>
        <w:rPr>
          <w:rFonts w:eastAsia="Times New Roman" w:cs="Times New Roman"/>
          <w:color w:val="000000"/>
          <w:szCs w:val="24"/>
          <w:lang w:eastAsia="es-CO"/>
        </w:rPr>
      </w:pPr>
      <w:r w:rsidRPr="00D2718B">
        <w:rPr>
          <w:rFonts w:ascii="Segoe UI" w:eastAsia="Times New Roman" w:hAnsi="Segoe UI" w:cs="Segoe UI"/>
          <w:i/>
          <w:iCs/>
          <w:color w:val="000000"/>
          <w:sz w:val="20"/>
          <w:szCs w:val="20"/>
          <w:lang w:eastAsia="es-CO"/>
        </w:rPr>
        <w:t>b. Los realizados a personas no inscritas en el régimen común del impuesto sobre las ventas, efectuados con posterioridad al momento en que los contratos superen un valor acumulado de sesenta millones de pesos ($60.000.000) (valor año base 2004) </w:t>
      </w:r>
      <w:r w:rsidRPr="00D2718B">
        <w:rPr>
          <w:rFonts w:ascii="Segoe UI" w:eastAsia="Times New Roman" w:hAnsi="Segoe UI" w:cs="Segoe UI"/>
          <w:b/>
          <w:bCs/>
          <w:i/>
          <w:iCs/>
          <w:color w:val="000000"/>
          <w:sz w:val="20"/>
          <w:szCs w:val="20"/>
          <w:lang w:eastAsia="es-CO"/>
        </w:rPr>
        <w:t>(3.300 UVT) </w:t>
      </w:r>
      <w:r w:rsidRPr="00D2718B">
        <w:rPr>
          <w:rFonts w:ascii="Segoe UI" w:eastAsia="Times New Roman" w:hAnsi="Segoe UI" w:cs="Segoe UI"/>
          <w:i/>
          <w:iCs/>
          <w:color w:val="000000"/>
          <w:sz w:val="20"/>
          <w:szCs w:val="20"/>
          <w:lang w:eastAsia="es-CO"/>
        </w:rPr>
        <w:t>en el respectivo período gravable;</w:t>
      </w:r>
    </w:p>
    <w:p w:rsidR="00D2718B" w:rsidRPr="00D2718B" w:rsidRDefault="00D2718B" w:rsidP="00D2718B">
      <w:pPr>
        <w:spacing w:after="0" w:line="240" w:lineRule="auto"/>
        <w:jc w:val="both"/>
        <w:rPr>
          <w:rFonts w:eastAsia="Times New Roman" w:cs="Times New Roman"/>
          <w:color w:val="000000"/>
          <w:szCs w:val="24"/>
          <w:lang w:eastAsia="es-CO"/>
        </w:rPr>
      </w:pPr>
      <w:r w:rsidRPr="00D2718B">
        <w:rPr>
          <w:rFonts w:ascii="Segoe UI" w:eastAsia="Times New Roman" w:hAnsi="Segoe UI" w:cs="Segoe UI"/>
          <w:i/>
          <w:iCs/>
          <w:color w:val="000000"/>
          <w:sz w:val="20"/>
          <w:szCs w:val="20"/>
          <w:lang w:eastAsia="es-CO"/>
        </w:rPr>
        <w:t xml:space="preserve">c. Los realizados a personas naturales no inscritas en el régimen común, cuando no conserven copia del documento en el cual conste la inscripción del respectivo vendedor o prestador de servicios en el régimen simplificado. Se exceptúan de lo anterior las operaciones gravadas realizadas con agricultores, </w:t>
      </w:r>
      <w:r w:rsidRPr="00D2718B">
        <w:rPr>
          <w:rFonts w:ascii="Segoe UI" w:eastAsia="Times New Roman" w:hAnsi="Segoe UI" w:cs="Segoe UI"/>
          <w:i/>
          <w:iCs/>
          <w:color w:val="000000"/>
          <w:sz w:val="20"/>
          <w:szCs w:val="20"/>
          <w:lang w:eastAsia="es-CO"/>
        </w:rPr>
        <w:lastRenderedPageBreak/>
        <w:t>ganaderos y arrendadores pertenecientes al régimen simplificado, siempre que el comprador de los bienes o servicios expida el documento equivalente a la factura a que hace referencia el literal f) del </w:t>
      </w:r>
      <w:hyperlink r:id="rId51" w:tooltip="Estatuto Tributario CETA" w:history="1">
        <w:r w:rsidRPr="00D2718B">
          <w:rPr>
            <w:rFonts w:ascii="Segoe UI" w:eastAsia="Times New Roman" w:hAnsi="Segoe UI" w:cs="Segoe UI"/>
            <w:i/>
            <w:iCs/>
            <w:color w:val="0089E1"/>
            <w:sz w:val="20"/>
            <w:szCs w:val="20"/>
            <w:lang w:eastAsia="es-CO"/>
          </w:rPr>
          <w:t>artículo 437</w:t>
        </w:r>
      </w:hyperlink>
      <w:r w:rsidRPr="00D2718B">
        <w:rPr>
          <w:rFonts w:ascii="Segoe UI" w:eastAsia="Times New Roman" w:hAnsi="Segoe UI" w:cs="Segoe UI"/>
          <w:i/>
          <w:iCs/>
          <w:color w:val="000000"/>
          <w:sz w:val="20"/>
          <w:szCs w:val="20"/>
          <w:lang w:eastAsia="es-CO"/>
        </w:rPr>
        <w:t> del Estatuto Tributario.</w:t>
      </w:r>
    </w:p>
    <w:p w:rsidR="00D2718B" w:rsidRPr="00D2718B" w:rsidRDefault="00D2718B" w:rsidP="00D2718B">
      <w:pPr>
        <w:spacing w:after="0" w:line="240" w:lineRule="auto"/>
        <w:jc w:val="both"/>
        <w:rPr>
          <w:rFonts w:eastAsia="Times New Roman" w:cs="Times New Roman"/>
          <w:color w:val="000000"/>
          <w:szCs w:val="24"/>
          <w:lang w:eastAsia="es-CO"/>
        </w:rPr>
      </w:pPr>
      <w:r w:rsidRPr="00D2718B">
        <w:rPr>
          <w:rFonts w:ascii="Segoe UI" w:eastAsia="Times New Roman" w:hAnsi="Segoe UI" w:cs="Segoe UI"/>
          <w:i/>
          <w:iCs/>
          <w:color w:val="000000"/>
          <w:sz w:val="20"/>
          <w:szCs w:val="20"/>
          <w:lang w:eastAsia="es-CO"/>
        </w:rPr>
        <w:t> </w:t>
      </w:r>
    </w:p>
    <w:p w:rsidR="00D2718B" w:rsidRPr="00D2718B" w:rsidRDefault="00D2718B" w:rsidP="00D2718B">
      <w:pPr>
        <w:spacing w:after="0" w:line="240" w:lineRule="auto"/>
        <w:jc w:val="both"/>
        <w:rPr>
          <w:rFonts w:eastAsia="Times New Roman" w:cs="Times New Roman"/>
          <w:color w:val="000000"/>
          <w:szCs w:val="24"/>
          <w:lang w:eastAsia="es-CO"/>
        </w:rPr>
      </w:pPr>
      <w:r w:rsidRPr="00D2718B">
        <w:rPr>
          <w:rFonts w:ascii="Segoe UI" w:eastAsia="Times New Roman" w:hAnsi="Segoe UI" w:cs="Segoe UI"/>
          <w:i/>
          <w:iCs/>
          <w:color w:val="000000"/>
          <w:sz w:val="20"/>
          <w:szCs w:val="20"/>
          <w:lang w:eastAsia="es-CO"/>
        </w:rPr>
        <w:t>Sin perjuicio de lo previsto en los literales a) y b) de este artículo, la obligación de exigir y conservar la constancia de inscripción del responsable del régimen simplificado en el RUT, operará a partir de la fecha que establezca el reglamento a que se refiere el </w:t>
      </w:r>
      <w:hyperlink r:id="rId52" w:tooltip="Estatuto Tributario CETA" w:history="1">
        <w:r w:rsidRPr="00D2718B">
          <w:rPr>
            <w:rFonts w:ascii="Segoe UI" w:eastAsia="Times New Roman" w:hAnsi="Segoe UI" w:cs="Segoe UI"/>
            <w:i/>
            <w:iCs/>
            <w:color w:val="0089E1"/>
            <w:sz w:val="20"/>
            <w:szCs w:val="20"/>
            <w:lang w:eastAsia="es-CO"/>
          </w:rPr>
          <w:t>artículo 555-2</w:t>
        </w:r>
      </w:hyperlink>
      <w:r w:rsidRPr="00D2718B">
        <w:rPr>
          <w:rFonts w:ascii="Segoe UI" w:eastAsia="Times New Roman" w:hAnsi="Segoe UI" w:cs="Segoe UI"/>
          <w:i/>
          <w:iCs/>
          <w:color w:val="000000"/>
          <w:sz w:val="20"/>
          <w:szCs w:val="20"/>
          <w:lang w:eastAsia="es-CO"/>
        </w:rPr>
        <w:t>.”</w:t>
      </w:r>
    </w:p>
    <w:p w:rsidR="00D2718B" w:rsidRPr="00D2718B" w:rsidRDefault="00D2718B" w:rsidP="00D2718B">
      <w:pPr>
        <w:spacing w:after="0" w:line="240" w:lineRule="auto"/>
        <w:jc w:val="both"/>
        <w:rPr>
          <w:rFonts w:eastAsia="Times New Roman" w:cs="Times New Roman"/>
          <w:color w:val="000000"/>
          <w:szCs w:val="24"/>
          <w:lang w:eastAsia="es-CO"/>
        </w:rPr>
      </w:pPr>
      <w:r w:rsidRPr="00D2718B">
        <w:rPr>
          <w:rFonts w:ascii="Segoe UI" w:eastAsia="Times New Roman" w:hAnsi="Segoe UI" w:cs="Segoe UI"/>
          <w:color w:val="000000"/>
          <w:sz w:val="20"/>
          <w:szCs w:val="20"/>
          <w:lang w:eastAsia="es-CO"/>
        </w:rPr>
        <w:t> </w:t>
      </w:r>
    </w:p>
    <w:bookmarkStart w:id="77" w:name="_ftn33"/>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Arial" w:eastAsia="Times New Roman" w:hAnsi="Arial" w:cs="Arial"/>
          <w:color w:val="000000"/>
          <w:sz w:val="18"/>
          <w:szCs w:val="18"/>
          <w:lang w:eastAsia="es-CO"/>
        </w:rPr>
        <w:fldChar w:fldCharType="begin"/>
      </w:r>
      <w:r w:rsidRPr="00D2718B">
        <w:rPr>
          <w:rFonts w:ascii="Arial" w:eastAsia="Times New Roman" w:hAnsi="Arial" w:cs="Arial"/>
          <w:color w:val="000000"/>
          <w:sz w:val="18"/>
          <w:szCs w:val="18"/>
          <w:lang w:eastAsia="es-CO"/>
        </w:rPr>
        <w:instrText xml:space="preserve"> HYPERLINK "http://www.ceta.org.co/html/vista_de_un_documento.asp?DocumentoID=28851" \l "_ftnref33" \o "" </w:instrText>
      </w:r>
      <w:r w:rsidRPr="00D2718B">
        <w:rPr>
          <w:rFonts w:ascii="Arial" w:eastAsia="Times New Roman" w:hAnsi="Arial" w:cs="Arial"/>
          <w:color w:val="000000"/>
          <w:sz w:val="18"/>
          <w:szCs w:val="18"/>
          <w:lang w:eastAsia="es-CO"/>
        </w:rPr>
        <w:fldChar w:fldCharType="separate"/>
      </w:r>
      <w:r w:rsidRPr="00D2718B">
        <w:rPr>
          <w:rFonts w:ascii="Segoe UI" w:eastAsia="Times New Roman" w:hAnsi="Segoe UI" w:cs="Segoe UI"/>
          <w:color w:val="0089E1"/>
          <w:sz w:val="20"/>
          <w:szCs w:val="20"/>
          <w:lang w:eastAsia="es-CO"/>
        </w:rPr>
        <w:t>[33]</w:t>
      </w:r>
      <w:r w:rsidRPr="00D2718B">
        <w:rPr>
          <w:rFonts w:ascii="Arial" w:eastAsia="Times New Roman" w:hAnsi="Arial" w:cs="Arial"/>
          <w:color w:val="000000"/>
          <w:sz w:val="18"/>
          <w:szCs w:val="18"/>
          <w:lang w:eastAsia="es-CO"/>
        </w:rPr>
        <w:fldChar w:fldCharType="end"/>
      </w:r>
      <w:bookmarkEnd w:id="77"/>
      <w:r w:rsidRPr="00D2718B">
        <w:rPr>
          <w:rFonts w:ascii="Segoe UI" w:eastAsia="Times New Roman" w:hAnsi="Segoe UI" w:cs="Segoe UI"/>
          <w:color w:val="000000"/>
          <w:sz w:val="20"/>
          <w:szCs w:val="20"/>
          <w:lang w:eastAsia="es-CO"/>
        </w:rPr>
        <w:t xml:space="preserve"> Folios 36 a 39 </w:t>
      </w:r>
      <w:proofErr w:type="spellStart"/>
      <w:r w:rsidRPr="00D2718B">
        <w:rPr>
          <w:rFonts w:ascii="Segoe UI" w:eastAsia="Times New Roman" w:hAnsi="Segoe UI" w:cs="Segoe UI"/>
          <w:color w:val="000000"/>
          <w:sz w:val="20"/>
          <w:szCs w:val="20"/>
          <w:lang w:eastAsia="es-CO"/>
        </w:rPr>
        <w:t>c.ppal</w:t>
      </w:r>
      <w:proofErr w:type="spellEnd"/>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20"/>
          <w:szCs w:val="20"/>
          <w:lang w:eastAsia="es-CO"/>
        </w:rPr>
        <w:t> </w:t>
      </w:r>
    </w:p>
    <w:bookmarkStart w:id="78" w:name="_ftn34"/>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Arial" w:eastAsia="Times New Roman" w:hAnsi="Arial" w:cs="Arial"/>
          <w:color w:val="000000"/>
          <w:sz w:val="18"/>
          <w:szCs w:val="18"/>
          <w:lang w:eastAsia="es-CO"/>
        </w:rPr>
        <w:fldChar w:fldCharType="begin"/>
      </w:r>
      <w:r w:rsidRPr="00D2718B">
        <w:rPr>
          <w:rFonts w:ascii="Arial" w:eastAsia="Times New Roman" w:hAnsi="Arial" w:cs="Arial"/>
          <w:color w:val="000000"/>
          <w:sz w:val="18"/>
          <w:szCs w:val="18"/>
          <w:lang w:eastAsia="es-CO"/>
        </w:rPr>
        <w:instrText xml:space="preserve"> HYPERLINK "http://www.ceta.org.co/html/vista_de_un_documento.asp?DocumentoID=28851" \l "_ftnref34" \o "" </w:instrText>
      </w:r>
      <w:r w:rsidRPr="00D2718B">
        <w:rPr>
          <w:rFonts w:ascii="Arial" w:eastAsia="Times New Roman" w:hAnsi="Arial" w:cs="Arial"/>
          <w:color w:val="000000"/>
          <w:sz w:val="18"/>
          <w:szCs w:val="18"/>
          <w:lang w:eastAsia="es-CO"/>
        </w:rPr>
        <w:fldChar w:fldCharType="separate"/>
      </w:r>
      <w:r w:rsidRPr="00D2718B">
        <w:rPr>
          <w:rFonts w:ascii="Segoe UI" w:eastAsia="Times New Roman" w:hAnsi="Segoe UI" w:cs="Segoe UI"/>
          <w:color w:val="0089E1"/>
          <w:sz w:val="20"/>
          <w:szCs w:val="20"/>
          <w:lang w:eastAsia="es-CO"/>
        </w:rPr>
        <w:t>[34]</w:t>
      </w:r>
      <w:r w:rsidRPr="00D2718B">
        <w:rPr>
          <w:rFonts w:ascii="Arial" w:eastAsia="Times New Roman" w:hAnsi="Arial" w:cs="Arial"/>
          <w:color w:val="000000"/>
          <w:sz w:val="18"/>
          <w:szCs w:val="18"/>
          <w:lang w:eastAsia="es-CO"/>
        </w:rPr>
        <w:fldChar w:fldCharType="end"/>
      </w:r>
      <w:bookmarkEnd w:id="78"/>
      <w:r w:rsidRPr="00D2718B">
        <w:rPr>
          <w:rFonts w:ascii="Segoe UI" w:eastAsia="Times New Roman" w:hAnsi="Segoe UI" w:cs="Segoe UI"/>
          <w:color w:val="000000"/>
          <w:sz w:val="20"/>
          <w:szCs w:val="20"/>
          <w:lang w:eastAsia="es-CO"/>
        </w:rPr>
        <w:t xml:space="preserve"> Folio 39 </w:t>
      </w:r>
      <w:proofErr w:type="spellStart"/>
      <w:r w:rsidRPr="00D2718B">
        <w:rPr>
          <w:rFonts w:ascii="Segoe UI" w:eastAsia="Times New Roman" w:hAnsi="Segoe UI" w:cs="Segoe UI"/>
          <w:color w:val="000000"/>
          <w:sz w:val="20"/>
          <w:szCs w:val="20"/>
          <w:lang w:eastAsia="es-CO"/>
        </w:rPr>
        <w:t>c.ppal</w:t>
      </w:r>
      <w:proofErr w:type="spellEnd"/>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20"/>
          <w:szCs w:val="20"/>
          <w:lang w:eastAsia="es-CO"/>
        </w:rPr>
        <w:t> </w:t>
      </w:r>
    </w:p>
    <w:bookmarkStart w:id="79" w:name="_ftn35"/>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Arial" w:eastAsia="Times New Roman" w:hAnsi="Arial" w:cs="Arial"/>
          <w:color w:val="000000"/>
          <w:sz w:val="18"/>
          <w:szCs w:val="18"/>
          <w:lang w:eastAsia="es-CO"/>
        </w:rPr>
        <w:fldChar w:fldCharType="begin"/>
      </w:r>
      <w:r w:rsidRPr="00D2718B">
        <w:rPr>
          <w:rFonts w:ascii="Arial" w:eastAsia="Times New Roman" w:hAnsi="Arial" w:cs="Arial"/>
          <w:color w:val="000000"/>
          <w:sz w:val="18"/>
          <w:szCs w:val="18"/>
          <w:lang w:eastAsia="es-CO"/>
        </w:rPr>
        <w:instrText xml:space="preserve"> HYPERLINK "http://www.ceta.org.co/html/vista_de_un_documento.asp?DocumentoID=28851" \l "_ftnref35" \o "" </w:instrText>
      </w:r>
      <w:r w:rsidRPr="00D2718B">
        <w:rPr>
          <w:rFonts w:ascii="Arial" w:eastAsia="Times New Roman" w:hAnsi="Arial" w:cs="Arial"/>
          <w:color w:val="000000"/>
          <w:sz w:val="18"/>
          <w:szCs w:val="18"/>
          <w:lang w:eastAsia="es-CO"/>
        </w:rPr>
        <w:fldChar w:fldCharType="separate"/>
      </w:r>
      <w:r w:rsidRPr="00D2718B">
        <w:rPr>
          <w:rFonts w:ascii="Segoe UI" w:eastAsia="Times New Roman" w:hAnsi="Segoe UI" w:cs="Segoe UI"/>
          <w:color w:val="0089E1"/>
          <w:sz w:val="20"/>
          <w:szCs w:val="20"/>
          <w:lang w:eastAsia="es-CO"/>
        </w:rPr>
        <w:t>[35]</w:t>
      </w:r>
      <w:r w:rsidRPr="00D2718B">
        <w:rPr>
          <w:rFonts w:ascii="Arial" w:eastAsia="Times New Roman" w:hAnsi="Arial" w:cs="Arial"/>
          <w:color w:val="000000"/>
          <w:sz w:val="18"/>
          <w:szCs w:val="18"/>
          <w:lang w:eastAsia="es-CO"/>
        </w:rPr>
        <w:fldChar w:fldCharType="end"/>
      </w:r>
      <w:bookmarkEnd w:id="79"/>
      <w:r w:rsidRPr="00D2718B">
        <w:rPr>
          <w:rFonts w:ascii="Segoe UI" w:eastAsia="Times New Roman" w:hAnsi="Segoe UI" w:cs="Segoe UI"/>
          <w:color w:val="000000"/>
          <w:sz w:val="20"/>
          <w:szCs w:val="20"/>
          <w:lang w:eastAsia="es-CO"/>
        </w:rPr>
        <w:t> Folio 5 c.a.1</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20"/>
          <w:szCs w:val="20"/>
          <w:lang w:eastAsia="es-CO"/>
        </w:rPr>
        <w:t> </w:t>
      </w:r>
    </w:p>
    <w:bookmarkStart w:id="80" w:name="_ftn36"/>
    <w:p w:rsidR="00D2718B" w:rsidRPr="00D2718B" w:rsidRDefault="00D2718B" w:rsidP="00D2718B">
      <w:pPr>
        <w:spacing w:after="0" w:line="240" w:lineRule="auto"/>
        <w:jc w:val="both"/>
        <w:rPr>
          <w:rFonts w:eastAsia="Times New Roman" w:cs="Times New Roman"/>
          <w:color w:val="000000"/>
          <w:szCs w:val="24"/>
          <w:lang w:eastAsia="es-CO"/>
        </w:rPr>
      </w:pPr>
      <w:r w:rsidRPr="00D2718B">
        <w:rPr>
          <w:rFonts w:eastAsia="Times New Roman" w:cs="Times New Roman"/>
          <w:color w:val="000000"/>
          <w:szCs w:val="24"/>
          <w:lang w:eastAsia="es-CO"/>
        </w:rPr>
        <w:fldChar w:fldCharType="begin"/>
      </w:r>
      <w:r w:rsidRPr="00D2718B">
        <w:rPr>
          <w:rFonts w:eastAsia="Times New Roman" w:cs="Times New Roman"/>
          <w:color w:val="000000"/>
          <w:szCs w:val="24"/>
          <w:lang w:eastAsia="es-CO"/>
        </w:rPr>
        <w:instrText xml:space="preserve"> HYPERLINK "http://www.ceta.org.co/html/vista_de_un_documento.asp?DocumentoID=28851" \l "_ftnref36" \o "" </w:instrText>
      </w:r>
      <w:r w:rsidRPr="00D2718B">
        <w:rPr>
          <w:rFonts w:eastAsia="Times New Roman" w:cs="Times New Roman"/>
          <w:color w:val="000000"/>
          <w:szCs w:val="24"/>
          <w:lang w:eastAsia="es-CO"/>
        </w:rPr>
        <w:fldChar w:fldCharType="separate"/>
      </w:r>
      <w:r w:rsidRPr="00D2718B">
        <w:rPr>
          <w:rFonts w:ascii="Segoe UI" w:eastAsia="Times New Roman" w:hAnsi="Segoe UI" w:cs="Segoe UI"/>
          <w:color w:val="0089E1"/>
          <w:sz w:val="20"/>
          <w:szCs w:val="20"/>
          <w:lang w:eastAsia="es-CO"/>
        </w:rPr>
        <w:t>[36]</w:t>
      </w:r>
      <w:r w:rsidRPr="00D2718B">
        <w:rPr>
          <w:rFonts w:eastAsia="Times New Roman" w:cs="Times New Roman"/>
          <w:color w:val="000000"/>
          <w:szCs w:val="24"/>
          <w:lang w:eastAsia="es-CO"/>
        </w:rPr>
        <w:fldChar w:fldCharType="end"/>
      </w:r>
      <w:bookmarkEnd w:id="80"/>
      <w:r w:rsidRPr="00D2718B">
        <w:rPr>
          <w:rFonts w:ascii="Segoe UI" w:eastAsia="Times New Roman" w:hAnsi="Segoe UI" w:cs="Segoe UI"/>
          <w:color w:val="000000"/>
          <w:sz w:val="20"/>
          <w:szCs w:val="20"/>
          <w:lang w:eastAsia="es-CO"/>
        </w:rPr>
        <w:t> </w:t>
      </w:r>
      <w:r w:rsidRPr="00D2718B">
        <w:rPr>
          <w:rFonts w:ascii="Segoe UI" w:eastAsia="Times New Roman" w:hAnsi="Segoe UI" w:cs="Segoe UI"/>
          <w:b/>
          <w:bCs/>
          <w:i/>
          <w:iCs/>
          <w:color w:val="000000"/>
          <w:sz w:val="20"/>
          <w:szCs w:val="20"/>
          <w:lang w:eastAsia="es-CO"/>
        </w:rPr>
        <w:t>“Artículo 2063. Normativa sobre obras inmateriales</w:t>
      </w:r>
      <w:r w:rsidRPr="00D2718B">
        <w:rPr>
          <w:rFonts w:ascii="Segoe UI" w:eastAsia="Times New Roman" w:hAnsi="Segoe UI" w:cs="Segoe UI"/>
          <w:i/>
          <w:iCs/>
          <w:color w:val="000000"/>
          <w:sz w:val="20"/>
          <w:szCs w:val="20"/>
          <w:lang w:eastAsia="es-CO"/>
        </w:rPr>
        <w:t>. Las obras inmateriales o en que </w:t>
      </w:r>
      <w:r w:rsidRPr="00D2718B">
        <w:rPr>
          <w:rFonts w:ascii="Segoe UI" w:eastAsia="Times New Roman" w:hAnsi="Segoe UI" w:cs="Segoe UI"/>
          <w:i/>
          <w:iCs/>
          <w:color w:val="000000"/>
          <w:sz w:val="20"/>
          <w:szCs w:val="20"/>
          <w:u w:val="single"/>
          <w:lang w:eastAsia="es-CO"/>
        </w:rPr>
        <w:t>predomina la inteligencia sobre la obra de mano</w:t>
      </w:r>
      <w:r w:rsidRPr="00D2718B">
        <w:rPr>
          <w:rFonts w:ascii="Segoe UI" w:eastAsia="Times New Roman" w:hAnsi="Segoe UI" w:cs="Segoe UI"/>
          <w:i/>
          <w:iCs/>
          <w:color w:val="000000"/>
          <w:sz w:val="20"/>
          <w:szCs w:val="20"/>
          <w:lang w:eastAsia="es-CO"/>
        </w:rPr>
        <w:t>, como una composición literaria, o la corrección tipográfica de un impreso, se sujetan a las disposiciones especiales de los artículos 2054, 2055, 2056 y 2059.</w:t>
      </w:r>
    </w:p>
    <w:p w:rsidR="00D2718B" w:rsidRPr="00D2718B" w:rsidRDefault="00D2718B" w:rsidP="00D2718B">
      <w:pPr>
        <w:spacing w:after="0" w:line="240" w:lineRule="auto"/>
        <w:jc w:val="both"/>
        <w:rPr>
          <w:rFonts w:eastAsia="Times New Roman" w:cs="Times New Roman"/>
          <w:color w:val="000000"/>
          <w:szCs w:val="24"/>
          <w:lang w:eastAsia="es-CO"/>
        </w:rPr>
      </w:pPr>
      <w:r w:rsidRPr="00D2718B">
        <w:rPr>
          <w:rFonts w:ascii="Segoe UI" w:eastAsia="Times New Roman" w:hAnsi="Segoe UI" w:cs="Segoe UI"/>
          <w:i/>
          <w:iCs/>
          <w:color w:val="000000"/>
          <w:sz w:val="20"/>
          <w:szCs w:val="20"/>
          <w:lang w:eastAsia="es-CO"/>
        </w:rPr>
        <w:t> </w:t>
      </w:r>
    </w:p>
    <w:p w:rsidR="00D2718B" w:rsidRPr="00D2718B" w:rsidRDefault="00D2718B" w:rsidP="00D2718B">
      <w:pPr>
        <w:spacing w:after="0" w:line="240" w:lineRule="auto"/>
        <w:jc w:val="both"/>
        <w:rPr>
          <w:rFonts w:eastAsia="Times New Roman" w:cs="Times New Roman"/>
          <w:color w:val="000000"/>
          <w:szCs w:val="24"/>
          <w:lang w:eastAsia="es-CO"/>
        </w:rPr>
      </w:pPr>
      <w:r w:rsidRPr="00D2718B">
        <w:rPr>
          <w:rFonts w:ascii="Segoe UI" w:eastAsia="Times New Roman" w:hAnsi="Segoe UI" w:cs="Segoe UI"/>
          <w:b/>
          <w:bCs/>
          <w:i/>
          <w:iCs/>
          <w:color w:val="000000"/>
          <w:sz w:val="20"/>
          <w:szCs w:val="20"/>
          <w:lang w:eastAsia="es-CO"/>
        </w:rPr>
        <w:t>Artículo 2064. Servicios inmateriales. </w:t>
      </w:r>
      <w:r w:rsidRPr="00D2718B">
        <w:rPr>
          <w:rFonts w:ascii="Segoe UI" w:eastAsia="Times New Roman" w:hAnsi="Segoe UI" w:cs="Segoe UI"/>
          <w:i/>
          <w:iCs/>
          <w:color w:val="000000"/>
          <w:sz w:val="20"/>
          <w:szCs w:val="20"/>
          <w:lang w:eastAsia="es-CO"/>
        </w:rPr>
        <w:t>Los servicios inmateriales que consisten en una larga </w:t>
      </w:r>
      <w:r w:rsidRPr="00D2718B">
        <w:rPr>
          <w:rFonts w:ascii="Segoe UI" w:eastAsia="Times New Roman" w:hAnsi="Segoe UI" w:cs="Segoe UI"/>
          <w:i/>
          <w:iCs/>
          <w:color w:val="000000"/>
          <w:sz w:val="20"/>
          <w:szCs w:val="20"/>
          <w:u w:val="single"/>
          <w:lang w:eastAsia="es-CO"/>
        </w:rPr>
        <w:t>serie de actos</w:t>
      </w:r>
      <w:r w:rsidRPr="00D2718B">
        <w:rPr>
          <w:rFonts w:ascii="Segoe UI" w:eastAsia="Times New Roman" w:hAnsi="Segoe UI" w:cs="Segoe UI"/>
          <w:i/>
          <w:iCs/>
          <w:color w:val="000000"/>
          <w:sz w:val="20"/>
          <w:szCs w:val="20"/>
          <w:lang w:eastAsia="es-CO"/>
        </w:rPr>
        <w:t xml:space="preserve">, como los de los escritores asalariados para la prensa, secretarios de personas privadas, preceptores, </w:t>
      </w:r>
      <w:proofErr w:type="spellStart"/>
      <w:r w:rsidRPr="00D2718B">
        <w:rPr>
          <w:rFonts w:ascii="Segoe UI" w:eastAsia="Times New Roman" w:hAnsi="Segoe UI" w:cs="Segoe UI"/>
          <w:i/>
          <w:iCs/>
          <w:color w:val="000000"/>
          <w:sz w:val="20"/>
          <w:szCs w:val="20"/>
          <w:lang w:eastAsia="es-CO"/>
        </w:rPr>
        <w:t>ayas</w:t>
      </w:r>
      <w:proofErr w:type="spellEnd"/>
      <w:r w:rsidRPr="00D2718B">
        <w:rPr>
          <w:rFonts w:ascii="Segoe UI" w:eastAsia="Times New Roman" w:hAnsi="Segoe UI" w:cs="Segoe UI"/>
          <w:i/>
          <w:iCs/>
          <w:color w:val="000000"/>
          <w:sz w:val="20"/>
          <w:szCs w:val="20"/>
          <w:lang w:eastAsia="es-CO"/>
        </w:rPr>
        <w:t>, histriones y cantores, se sujetan a las reglas especiales que siguen.</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i/>
          <w:iCs/>
          <w:color w:val="000000"/>
          <w:sz w:val="20"/>
          <w:szCs w:val="20"/>
          <w:lang w:eastAsia="es-CO"/>
        </w:rPr>
        <w:t> </w:t>
      </w:r>
    </w:p>
    <w:p w:rsidR="00D2718B" w:rsidRPr="00D2718B" w:rsidRDefault="00D2718B" w:rsidP="00D2718B">
      <w:pPr>
        <w:spacing w:after="0" w:line="240" w:lineRule="auto"/>
        <w:jc w:val="both"/>
        <w:rPr>
          <w:rFonts w:eastAsia="Times New Roman" w:cs="Times New Roman"/>
          <w:color w:val="000000"/>
          <w:szCs w:val="24"/>
          <w:lang w:eastAsia="es-CO"/>
        </w:rPr>
      </w:pPr>
      <w:r w:rsidRPr="00D2718B">
        <w:rPr>
          <w:rFonts w:ascii="Segoe UI" w:eastAsia="Times New Roman" w:hAnsi="Segoe UI" w:cs="Segoe UI"/>
          <w:b/>
          <w:bCs/>
          <w:i/>
          <w:iCs/>
          <w:color w:val="000000"/>
          <w:sz w:val="20"/>
          <w:szCs w:val="20"/>
          <w:lang w:eastAsia="es-CO"/>
        </w:rPr>
        <w:t>Artículo 2065. Normativa sobre las obras parciales del servicio. </w:t>
      </w:r>
      <w:r w:rsidRPr="00D2718B">
        <w:rPr>
          <w:rFonts w:ascii="Segoe UI" w:eastAsia="Times New Roman" w:hAnsi="Segoe UI" w:cs="Segoe UI"/>
          <w:i/>
          <w:iCs/>
          <w:color w:val="000000"/>
          <w:sz w:val="20"/>
          <w:szCs w:val="20"/>
          <w:lang w:eastAsia="es-CO"/>
        </w:rPr>
        <w:t>Respecto de cada una de las obras parciales en que consista el servicio, se observará lo dispuesto en el artículo 2063.</w:t>
      </w:r>
    </w:p>
    <w:p w:rsidR="00D2718B" w:rsidRPr="00D2718B" w:rsidRDefault="00D2718B" w:rsidP="00D2718B">
      <w:pPr>
        <w:spacing w:after="0" w:line="240" w:lineRule="auto"/>
        <w:jc w:val="both"/>
        <w:rPr>
          <w:rFonts w:eastAsia="Times New Roman" w:cs="Times New Roman"/>
          <w:color w:val="000000"/>
          <w:szCs w:val="24"/>
          <w:lang w:eastAsia="es-CO"/>
        </w:rPr>
      </w:pPr>
      <w:r w:rsidRPr="00D2718B">
        <w:rPr>
          <w:rFonts w:ascii="Segoe UI" w:eastAsia="Times New Roman" w:hAnsi="Segoe UI" w:cs="Segoe UI"/>
          <w:i/>
          <w:iCs/>
          <w:color w:val="000000"/>
          <w:sz w:val="20"/>
          <w:szCs w:val="20"/>
          <w:lang w:eastAsia="es-CO"/>
        </w:rPr>
        <w:t> </w:t>
      </w:r>
    </w:p>
    <w:p w:rsidR="00D2718B" w:rsidRPr="00D2718B" w:rsidRDefault="00D2718B" w:rsidP="00D2718B">
      <w:pPr>
        <w:spacing w:after="0" w:line="240" w:lineRule="auto"/>
        <w:jc w:val="both"/>
        <w:rPr>
          <w:rFonts w:eastAsia="Times New Roman" w:cs="Times New Roman"/>
          <w:color w:val="000000"/>
          <w:szCs w:val="24"/>
          <w:lang w:eastAsia="es-CO"/>
        </w:rPr>
      </w:pPr>
      <w:r w:rsidRPr="00D2718B">
        <w:rPr>
          <w:rFonts w:ascii="Segoe UI" w:eastAsia="Times New Roman" w:hAnsi="Segoe UI" w:cs="Segoe UI"/>
          <w:b/>
          <w:bCs/>
          <w:i/>
          <w:iCs/>
          <w:color w:val="000000"/>
          <w:sz w:val="20"/>
          <w:szCs w:val="20"/>
          <w:lang w:eastAsia="es-CO"/>
        </w:rPr>
        <w:t>Artículo 2066. Terminación del contrato de servicio. </w:t>
      </w:r>
      <w:r w:rsidRPr="00D2718B">
        <w:rPr>
          <w:rFonts w:ascii="Segoe UI" w:eastAsia="Times New Roman" w:hAnsi="Segoe UI" w:cs="Segoe UI"/>
          <w:i/>
          <w:iCs/>
          <w:color w:val="000000"/>
          <w:sz w:val="20"/>
          <w:szCs w:val="20"/>
          <w:lang w:eastAsia="es-CO"/>
        </w:rPr>
        <w:t>Cualquiera de las dos partes podrá poner fin al servicio cuando quiera, o con el desahucio que se hubiere estipulado. Si la </w:t>
      </w:r>
      <w:r w:rsidRPr="00D2718B">
        <w:rPr>
          <w:rFonts w:ascii="Segoe UI" w:eastAsia="Times New Roman" w:hAnsi="Segoe UI" w:cs="Segoe UI"/>
          <w:i/>
          <w:iCs/>
          <w:color w:val="000000"/>
          <w:sz w:val="20"/>
          <w:szCs w:val="20"/>
          <w:u w:val="single"/>
          <w:lang w:eastAsia="es-CO"/>
        </w:rPr>
        <w:t>retribución</w:t>
      </w:r>
      <w:r w:rsidRPr="00D2718B">
        <w:rPr>
          <w:rFonts w:ascii="Segoe UI" w:eastAsia="Times New Roman" w:hAnsi="Segoe UI" w:cs="Segoe UI"/>
          <w:i/>
          <w:iCs/>
          <w:color w:val="000000"/>
          <w:sz w:val="20"/>
          <w:szCs w:val="20"/>
          <w:lang w:eastAsia="es-CO"/>
        </w:rPr>
        <w:t> consiste en pensiones periódicas, cualquiera de las dos partes deberá dar noticia a la otra de su intención de poner fin al contrato, aunque en éste no se haya estipulado desahucio, y la anticipación será de medio período a lo menos.</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i/>
          <w:iCs/>
          <w:color w:val="000000"/>
          <w:sz w:val="20"/>
          <w:szCs w:val="20"/>
          <w:lang w:eastAsia="es-CO"/>
        </w:rPr>
        <w:t> </w:t>
      </w:r>
    </w:p>
    <w:p w:rsidR="00D2718B" w:rsidRPr="00D2718B" w:rsidRDefault="00D2718B" w:rsidP="00D2718B">
      <w:pPr>
        <w:spacing w:after="0" w:line="240" w:lineRule="auto"/>
        <w:jc w:val="both"/>
        <w:rPr>
          <w:rFonts w:eastAsia="Times New Roman" w:cs="Times New Roman"/>
          <w:color w:val="000000"/>
          <w:szCs w:val="24"/>
          <w:lang w:eastAsia="es-CO"/>
        </w:rPr>
      </w:pPr>
      <w:r w:rsidRPr="00D2718B">
        <w:rPr>
          <w:rFonts w:ascii="Segoe UI" w:eastAsia="Times New Roman" w:hAnsi="Segoe UI" w:cs="Segoe UI"/>
          <w:b/>
          <w:bCs/>
          <w:i/>
          <w:iCs/>
          <w:color w:val="000000"/>
          <w:sz w:val="20"/>
          <w:szCs w:val="20"/>
          <w:lang w:eastAsia="es-CO"/>
        </w:rPr>
        <w:t>Artículo 2067. Gastos de transporte por traslado. </w:t>
      </w:r>
      <w:r w:rsidRPr="00D2718B">
        <w:rPr>
          <w:rFonts w:ascii="Segoe UI" w:eastAsia="Times New Roman" w:hAnsi="Segoe UI" w:cs="Segoe UI"/>
          <w:i/>
          <w:iCs/>
          <w:color w:val="000000"/>
          <w:sz w:val="20"/>
          <w:szCs w:val="20"/>
          <w:lang w:eastAsia="es-CO"/>
        </w:rPr>
        <w:t>Si para prestar el servicio se ha hecho mudar de residencia al que lo presta, se abonarán por la otra parte los gastos razonables de ida y vuelta.</w:t>
      </w:r>
    </w:p>
    <w:p w:rsidR="00D2718B" w:rsidRPr="00D2718B" w:rsidRDefault="00D2718B" w:rsidP="00D2718B">
      <w:pPr>
        <w:spacing w:after="0" w:line="240" w:lineRule="auto"/>
        <w:jc w:val="both"/>
        <w:rPr>
          <w:rFonts w:eastAsia="Times New Roman" w:cs="Times New Roman"/>
          <w:color w:val="000000"/>
          <w:szCs w:val="24"/>
          <w:lang w:eastAsia="es-CO"/>
        </w:rPr>
      </w:pPr>
      <w:r w:rsidRPr="00D2718B">
        <w:rPr>
          <w:rFonts w:ascii="Segoe UI" w:eastAsia="Times New Roman" w:hAnsi="Segoe UI" w:cs="Segoe UI"/>
          <w:i/>
          <w:iCs/>
          <w:color w:val="000000"/>
          <w:sz w:val="20"/>
          <w:szCs w:val="20"/>
          <w:lang w:eastAsia="es-CO"/>
        </w:rPr>
        <w:t> </w:t>
      </w:r>
    </w:p>
    <w:p w:rsidR="00D2718B" w:rsidRPr="00D2718B" w:rsidRDefault="00D2718B" w:rsidP="00D2718B">
      <w:pPr>
        <w:spacing w:after="0" w:line="240" w:lineRule="auto"/>
        <w:jc w:val="both"/>
        <w:rPr>
          <w:rFonts w:eastAsia="Times New Roman" w:cs="Times New Roman"/>
          <w:color w:val="000000"/>
          <w:szCs w:val="24"/>
          <w:lang w:eastAsia="es-CO"/>
        </w:rPr>
      </w:pPr>
      <w:r w:rsidRPr="00D2718B">
        <w:rPr>
          <w:rFonts w:ascii="Segoe UI" w:eastAsia="Times New Roman" w:hAnsi="Segoe UI" w:cs="Segoe UI"/>
          <w:b/>
          <w:bCs/>
          <w:i/>
          <w:iCs/>
          <w:color w:val="000000"/>
          <w:sz w:val="20"/>
          <w:szCs w:val="20"/>
          <w:lang w:eastAsia="es-CO"/>
        </w:rPr>
        <w:t>Artículo 2068. Terminación del contrato por culpa de quien presta el servicio. </w:t>
      </w:r>
      <w:r w:rsidRPr="00D2718B">
        <w:rPr>
          <w:rFonts w:ascii="Segoe UI" w:eastAsia="Times New Roman" w:hAnsi="Segoe UI" w:cs="Segoe UI"/>
          <w:i/>
          <w:iCs/>
          <w:color w:val="000000"/>
          <w:sz w:val="20"/>
          <w:szCs w:val="20"/>
          <w:lang w:eastAsia="es-CO"/>
        </w:rPr>
        <w:t>Si el que presta el servicio se retira intempestivamente, o su mala conducta da motivo para despedirle, no podrá reclamar cosa algunas en razón de desahucio o de gastos de viaje.</w:t>
      </w:r>
    </w:p>
    <w:p w:rsidR="00D2718B" w:rsidRPr="00D2718B" w:rsidRDefault="00D2718B" w:rsidP="00D2718B">
      <w:pPr>
        <w:spacing w:after="0" w:line="240" w:lineRule="auto"/>
        <w:jc w:val="both"/>
        <w:rPr>
          <w:rFonts w:eastAsia="Times New Roman" w:cs="Times New Roman"/>
          <w:color w:val="000000"/>
          <w:szCs w:val="24"/>
          <w:lang w:eastAsia="es-CO"/>
        </w:rPr>
      </w:pPr>
      <w:r w:rsidRPr="00D2718B">
        <w:rPr>
          <w:rFonts w:ascii="Segoe UI" w:eastAsia="Times New Roman" w:hAnsi="Segoe UI" w:cs="Segoe UI"/>
          <w:i/>
          <w:iCs/>
          <w:color w:val="000000"/>
          <w:sz w:val="20"/>
          <w:szCs w:val="20"/>
          <w:lang w:eastAsia="es-CO"/>
        </w:rPr>
        <w:t> </w:t>
      </w:r>
    </w:p>
    <w:p w:rsidR="00D2718B" w:rsidRPr="00D2718B" w:rsidRDefault="00D2718B" w:rsidP="00D2718B">
      <w:pPr>
        <w:spacing w:after="0" w:line="240" w:lineRule="auto"/>
        <w:jc w:val="both"/>
        <w:rPr>
          <w:rFonts w:eastAsia="Times New Roman" w:cs="Times New Roman"/>
          <w:color w:val="000000"/>
          <w:szCs w:val="24"/>
          <w:lang w:eastAsia="es-CO"/>
        </w:rPr>
      </w:pPr>
      <w:r w:rsidRPr="00D2718B">
        <w:rPr>
          <w:rFonts w:ascii="Segoe UI" w:eastAsia="Times New Roman" w:hAnsi="Segoe UI" w:cs="Segoe UI"/>
          <w:b/>
          <w:bCs/>
          <w:i/>
          <w:iCs/>
          <w:color w:val="000000"/>
          <w:sz w:val="20"/>
          <w:szCs w:val="20"/>
          <w:lang w:eastAsia="es-CO"/>
        </w:rPr>
        <w:t>Artículo 2069. Normas aplicables a los servicios que se sujetan a las reglas del mandato</w:t>
      </w:r>
      <w:r w:rsidRPr="00D2718B">
        <w:rPr>
          <w:rFonts w:ascii="Segoe UI" w:eastAsia="Times New Roman" w:hAnsi="Segoe UI" w:cs="Segoe UI"/>
          <w:i/>
          <w:iCs/>
          <w:color w:val="000000"/>
          <w:sz w:val="20"/>
          <w:szCs w:val="20"/>
          <w:lang w:eastAsia="es-CO"/>
        </w:rPr>
        <w:t>. Los artículos precedentes se aplican a los servicios que según el artículo 2144 se sujetan a las reglas del mandato, en lo que no tuvieren de contrario a ellas.”</w:t>
      </w:r>
    </w:p>
    <w:p w:rsidR="00D2718B" w:rsidRPr="00D2718B" w:rsidRDefault="00D2718B" w:rsidP="00D2718B">
      <w:pPr>
        <w:spacing w:after="0" w:line="240" w:lineRule="auto"/>
        <w:jc w:val="both"/>
        <w:rPr>
          <w:rFonts w:eastAsia="Times New Roman" w:cs="Times New Roman"/>
          <w:color w:val="000000"/>
          <w:szCs w:val="24"/>
          <w:lang w:eastAsia="es-CO"/>
        </w:rPr>
      </w:pPr>
      <w:r w:rsidRPr="00D2718B">
        <w:rPr>
          <w:rFonts w:ascii="Segoe UI" w:eastAsia="Times New Roman" w:hAnsi="Segoe UI" w:cs="Segoe UI"/>
          <w:color w:val="000000"/>
          <w:sz w:val="20"/>
          <w:szCs w:val="20"/>
          <w:lang w:eastAsia="es-CO"/>
        </w:rPr>
        <w:t> </w:t>
      </w:r>
    </w:p>
    <w:bookmarkStart w:id="81" w:name="_ftn37"/>
    <w:p w:rsidR="00D2718B" w:rsidRPr="00D2718B" w:rsidRDefault="00D2718B" w:rsidP="00D2718B">
      <w:pPr>
        <w:spacing w:after="0" w:line="240" w:lineRule="auto"/>
        <w:jc w:val="both"/>
        <w:rPr>
          <w:rFonts w:eastAsia="Times New Roman" w:cs="Times New Roman"/>
          <w:color w:val="000000"/>
          <w:szCs w:val="24"/>
          <w:lang w:eastAsia="es-CO"/>
        </w:rPr>
      </w:pPr>
      <w:r w:rsidRPr="00D2718B">
        <w:rPr>
          <w:rFonts w:eastAsia="Times New Roman" w:cs="Times New Roman"/>
          <w:color w:val="000000"/>
          <w:szCs w:val="24"/>
          <w:lang w:eastAsia="es-CO"/>
        </w:rPr>
        <w:fldChar w:fldCharType="begin"/>
      </w:r>
      <w:r w:rsidRPr="00D2718B">
        <w:rPr>
          <w:rFonts w:eastAsia="Times New Roman" w:cs="Times New Roman"/>
          <w:color w:val="000000"/>
          <w:szCs w:val="24"/>
          <w:lang w:eastAsia="es-CO"/>
        </w:rPr>
        <w:instrText xml:space="preserve"> HYPERLINK "http://www.ceta.org.co/html/vista_de_un_documento.asp?DocumentoID=28851" \l "_ftnref37" \o "" </w:instrText>
      </w:r>
      <w:r w:rsidRPr="00D2718B">
        <w:rPr>
          <w:rFonts w:eastAsia="Times New Roman" w:cs="Times New Roman"/>
          <w:color w:val="000000"/>
          <w:szCs w:val="24"/>
          <w:lang w:eastAsia="es-CO"/>
        </w:rPr>
        <w:fldChar w:fldCharType="separate"/>
      </w:r>
      <w:r w:rsidRPr="00D2718B">
        <w:rPr>
          <w:rFonts w:ascii="Segoe UI" w:eastAsia="Times New Roman" w:hAnsi="Segoe UI" w:cs="Segoe UI"/>
          <w:color w:val="0089E1"/>
          <w:sz w:val="20"/>
          <w:szCs w:val="20"/>
          <w:lang w:eastAsia="es-CO"/>
        </w:rPr>
        <w:t>[37]</w:t>
      </w:r>
      <w:r w:rsidRPr="00D2718B">
        <w:rPr>
          <w:rFonts w:eastAsia="Times New Roman" w:cs="Times New Roman"/>
          <w:color w:val="000000"/>
          <w:szCs w:val="24"/>
          <w:lang w:eastAsia="es-CO"/>
        </w:rPr>
        <w:fldChar w:fldCharType="end"/>
      </w:r>
      <w:bookmarkEnd w:id="81"/>
      <w:r w:rsidRPr="00D2718B">
        <w:rPr>
          <w:rFonts w:ascii="Segoe UI" w:eastAsia="Times New Roman" w:hAnsi="Segoe UI" w:cs="Segoe UI"/>
          <w:color w:val="000000"/>
          <w:sz w:val="20"/>
          <w:szCs w:val="20"/>
          <w:lang w:eastAsia="es-CO"/>
        </w:rPr>
        <w:t> La noción de servicio del artículo 1 del Decreto 1372 de 1992 es la misma para efectos del impuesto de industria y comercio, de acuerdo con el artículo 154 numeral 4 del Decreto 1421 de 1993.</w:t>
      </w:r>
    </w:p>
    <w:p w:rsidR="00D2718B" w:rsidRPr="00D2718B" w:rsidRDefault="00D2718B" w:rsidP="00D2718B">
      <w:pPr>
        <w:spacing w:after="0" w:line="240" w:lineRule="auto"/>
        <w:jc w:val="both"/>
        <w:rPr>
          <w:rFonts w:eastAsia="Times New Roman" w:cs="Times New Roman"/>
          <w:color w:val="000000"/>
          <w:szCs w:val="24"/>
          <w:lang w:eastAsia="es-CO"/>
        </w:rPr>
      </w:pPr>
      <w:r w:rsidRPr="00D2718B">
        <w:rPr>
          <w:rFonts w:ascii="Segoe UI" w:eastAsia="Times New Roman" w:hAnsi="Segoe UI" w:cs="Segoe UI"/>
          <w:color w:val="000000"/>
          <w:sz w:val="20"/>
          <w:szCs w:val="20"/>
          <w:lang w:eastAsia="es-CO"/>
        </w:rPr>
        <w:t> </w:t>
      </w:r>
    </w:p>
    <w:bookmarkStart w:id="82" w:name="_ftn38"/>
    <w:p w:rsidR="00D2718B" w:rsidRPr="00D2718B" w:rsidRDefault="00D2718B" w:rsidP="00D2718B">
      <w:pPr>
        <w:spacing w:after="0" w:line="240" w:lineRule="auto"/>
        <w:jc w:val="both"/>
        <w:rPr>
          <w:rFonts w:eastAsia="Times New Roman" w:cs="Times New Roman"/>
          <w:color w:val="000000"/>
          <w:szCs w:val="24"/>
          <w:lang w:eastAsia="es-CO"/>
        </w:rPr>
      </w:pPr>
      <w:r w:rsidRPr="00D2718B">
        <w:rPr>
          <w:rFonts w:eastAsia="Times New Roman" w:cs="Times New Roman"/>
          <w:color w:val="000000"/>
          <w:szCs w:val="24"/>
          <w:lang w:eastAsia="es-CO"/>
        </w:rPr>
        <w:fldChar w:fldCharType="begin"/>
      </w:r>
      <w:r w:rsidRPr="00D2718B">
        <w:rPr>
          <w:rFonts w:eastAsia="Times New Roman" w:cs="Times New Roman"/>
          <w:color w:val="000000"/>
          <w:szCs w:val="24"/>
          <w:lang w:eastAsia="es-CO"/>
        </w:rPr>
        <w:instrText xml:space="preserve"> HYPERLINK "http://www.ceta.org.co/html/vista_de_un_documento.asp?DocumentoID=28851" \l "_ftnref38" \o "" </w:instrText>
      </w:r>
      <w:r w:rsidRPr="00D2718B">
        <w:rPr>
          <w:rFonts w:eastAsia="Times New Roman" w:cs="Times New Roman"/>
          <w:color w:val="000000"/>
          <w:szCs w:val="24"/>
          <w:lang w:eastAsia="es-CO"/>
        </w:rPr>
        <w:fldChar w:fldCharType="separate"/>
      </w:r>
      <w:r w:rsidRPr="00D2718B">
        <w:rPr>
          <w:rFonts w:ascii="Segoe UI" w:eastAsia="Times New Roman" w:hAnsi="Segoe UI" w:cs="Segoe UI"/>
          <w:color w:val="0089E1"/>
          <w:sz w:val="20"/>
          <w:szCs w:val="20"/>
          <w:lang w:eastAsia="es-CO"/>
        </w:rPr>
        <w:t>[38]</w:t>
      </w:r>
      <w:r w:rsidRPr="00D2718B">
        <w:rPr>
          <w:rFonts w:eastAsia="Times New Roman" w:cs="Times New Roman"/>
          <w:color w:val="000000"/>
          <w:szCs w:val="24"/>
          <w:lang w:eastAsia="es-CO"/>
        </w:rPr>
        <w:fldChar w:fldCharType="end"/>
      </w:r>
      <w:bookmarkEnd w:id="82"/>
      <w:r w:rsidRPr="00D2718B">
        <w:rPr>
          <w:rFonts w:ascii="Segoe UI" w:eastAsia="Times New Roman" w:hAnsi="Segoe UI" w:cs="Segoe UI"/>
          <w:color w:val="000000"/>
          <w:sz w:val="20"/>
          <w:szCs w:val="20"/>
          <w:lang w:eastAsia="es-CO"/>
        </w:rPr>
        <w:t xml:space="preserve"> Sentencia de 27 de mayo de 2007, </w:t>
      </w:r>
      <w:proofErr w:type="spellStart"/>
      <w:r w:rsidRPr="00D2718B">
        <w:rPr>
          <w:rFonts w:ascii="Segoe UI" w:eastAsia="Times New Roman" w:hAnsi="Segoe UI" w:cs="Segoe UI"/>
          <w:color w:val="000000"/>
          <w:sz w:val="20"/>
          <w:szCs w:val="20"/>
          <w:lang w:eastAsia="es-CO"/>
        </w:rPr>
        <w:t>exp</w:t>
      </w:r>
      <w:proofErr w:type="spellEnd"/>
      <w:r w:rsidRPr="00D2718B">
        <w:rPr>
          <w:rFonts w:ascii="Segoe UI" w:eastAsia="Times New Roman" w:hAnsi="Segoe UI" w:cs="Segoe UI"/>
          <w:color w:val="000000"/>
          <w:sz w:val="20"/>
          <w:szCs w:val="20"/>
          <w:lang w:eastAsia="es-CO"/>
        </w:rPr>
        <w:t>. 41001-23-31-000-2004-00369-01(AP), C.P. Ramiro Saavedra Becerra</w:t>
      </w:r>
    </w:p>
    <w:p w:rsidR="00D2718B" w:rsidRPr="00D2718B" w:rsidRDefault="00D2718B" w:rsidP="00D2718B">
      <w:pPr>
        <w:spacing w:after="0" w:line="240" w:lineRule="auto"/>
        <w:jc w:val="both"/>
        <w:rPr>
          <w:rFonts w:eastAsia="Times New Roman" w:cs="Times New Roman"/>
          <w:color w:val="000000"/>
          <w:szCs w:val="24"/>
          <w:lang w:eastAsia="es-CO"/>
        </w:rPr>
      </w:pPr>
      <w:r w:rsidRPr="00D2718B">
        <w:rPr>
          <w:rFonts w:ascii="Segoe UI" w:eastAsia="Times New Roman" w:hAnsi="Segoe UI" w:cs="Segoe UI"/>
          <w:color w:val="000000"/>
          <w:sz w:val="20"/>
          <w:szCs w:val="20"/>
          <w:lang w:eastAsia="es-CO"/>
        </w:rPr>
        <w:t> </w:t>
      </w:r>
    </w:p>
    <w:bookmarkStart w:id="83" w:name="_ftn39"/>
    <w:p w:rsidR="00D2718B" w:rsidRPr="00D2718B" w:rsidRDefault="00D2718B" w:rsidP="00D2718B">
      <w:pPr>
        <w:spacing w:after="0" w:line="240" w:lineRule="auto"/>
        <w:jc w:val="both"/>
        <w:rPr>
          <w:rFonts w:eastAsia="Times New Roman" w:cs="Times New Roman"/>
          <w:color w:val="000000"/>
          <w:szCs w:val="24"/>
          <w:lang w:eastAsia="es-CO"/>
        </w:rPr>
      </w:pPr>
      <w:r w:rsidRPr="00D2718B">
        <w:rPr>
          <w:rFonts w:eastAsia="Times New Roman" w:cs="Times New Roman"/>
          <w:color w:val="000000"/>
          <w:szCs w:val="24"/>
          <w:lang w:eastAsia="es-CO"/>
        </w:rPr>
        <w:fldChar w:fldCharType="begin"/>
      </w:r>
      <w:r w:rsidRPr="00D2718B">
        <w:rPr>
          <w:rFonts w:eastAsia="Times New Roman" w:cs="Times New Roman"/>
          <w:color w:val="000000"/>
          <w:szCs w:val="24"/>
          <w:lang w:eastAsia="es-CO"/>
        </w:rPr>
        <w:instrText xml:space="preserve"> HYPERLINK "http://www.ceta.org.co/html/vista_de_un_documento.asp?DocumentoID=28851" \l "_ftnref39" \o "" </w:instrText>
      </w:r>
      <w:r w:rsidRPr="00D2718B">
        <w:rPr>
          <w:rFonts w:eastAsia="Times New Roman" w:cs="Times New Roman"/>
          <w:color w:val="000000"/>
          <w:szCs w:val="24"/>
          <w:lang w:eastAsia="es-CO"/>
        </w:rPr>
        <w:fldChar w:fldCharType="separate"/>
      </w:r>
      <w:r w:rsidRPr="00D2718B">
        <w:rPr>
          <w:rFonts w:ascii="Segoe UI" w:eastAsia="Times New Roman" w:hAnsi="Segoe UI" w:cs="Segoe UI"/>
          <w:color w:val="0089E1"/>
          <w:sz w:val="20"/>
          <w:szCs w:val="20"/>
          <w:lang w:eastAsia="es-CO"/>
        </w:rPr>
        <w:t>[39]</w:t>
      </w:r>
      <w:r w:rsidRPr="00D2718B">
        <w:rPr>
          <w:rFonts w:eastAsia="Times New Roman" w:cs="Times New Roman"/>
          <w:color w:val="000000"/>
          <w:szCs w:val="24"/>
          <w:lang w:eastAsia="es-CO"/>
        </w:rPr>
        <w:fldChar w:fldCharType="end"/>
      </w:r>
      <w:bookmarkEnd w:id="83"/>
      <w:r w:rsidRPr="00D2718B">
        <w:rPr>
          <w:rFonts w:ascii="Segoe UI" w:eastAsia="Times New Roman" w:hAnsi="Segoe UI" w:cs="Segoe UI"/>
          <w:color w:val="000000"/>
          <w:sz w:val="20"/>
          <w:szCs w:val="20"/>
          <w:lang w:eastAsia="es-CO"/>
        </w:rPr>
        <w:t> La Sala advierte de una vez que las características de innominado y atípico no se predican del contrato de prestación de servicios en el derecho administrativo, habida cuenta de su consagración y desarrollo legal, el cual se expondrá con detalle más adelante.</w:t>
      </w:r>
    </w:p>
    <w:p w:rsidR="00D2718B" w:rsidRPr="00D2718B" w:rsidRDefault="00D2718B" w:rsidP="00D2718B">
      <w:pPr>
        <w:spacing w:after="0" w:line="240" w:lineRule="auto"/>
        <w:jc w:val="both"/>
        <w:rPr>
          <w:rFonts w:eastAsia="Times New Roman" w:cs="Times New Roman"/>
          <w:color w:val="000000"/>
          <w:szCs w:val="24"/>
          <w:lang w:eastAsia="es-CO"/>
        </w:rPr>
      </w:pPr>
      <w:r w:rsidRPr="00D2718B">
        <w:rPr>
          <w:rFonts w:ascii="Segoe UI" w:eastAsia="Times New Roman" w:hAnsi="Segoe UI" w:cs="Segoe UI"/>
          <w:color w:val="000000"/>
          <w:sz w:val="20"/>
          <w:szCs w:val="20"/>
          <w:lang w:eastAsia="es-CO"/>
        </w:rPr>
        <w:t> </w:t>
      </w:r>
    </w:p>
    <w:bookmarkStart w:id="84" w:name="_ftn40"/>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Arial" w:eastAsia="Times New Roman" w:hAnsi="Arial" w:cs="Arial"/>
          <w:color w:val="000000"/>
          <w:sz w:val="18"/>
          <w:szCs w:val="18"/>
          <w:lang w:eastAsia="es-CO"/>
        </w:rPr>
        <w:fldChar w:fldCharType="begin"/>
      </w:r>
      <w:r w:rsidRPr="00D2718B">
        <w:rPr>
          <w:rFonts w:ascii="Arial" w:eastAsia="Times New Roman" w:hAnsi="Arial" w:cs="Arial"/>
          <w:color w:val="000000"/>
          <w:sz w:val="18"/>
          <w:szCs w:val="18"/>
          <w:lang w:eastAsia="es-CO"/>
        </w:rPr>
        <w:instrText xml:space="preserve"> HYPERLINK "http://www.ceta.org.co/html/vista_de_un_documento.asp?DocumentoID=28851" \l "_ftnref40" \o "" </w:instrText>
      </w:r>
      <w:r w:rsidRPr="00D2718B">
        <w:rPr>
          <w:rFonts w:ascii="Arial" w:eastAsia="Times New Roman" w:hAnsi="Arial" w:cs="Arial"/>
          <w:color w:val="000000"/>
          <w:sz w:val="18"/>
          <w:szCs w:val="18"/>
          <w:lang w:eastAsia="es-CO"/>
        </w:rPr>
        <w:fldChar w:fldCharType="separate"/>
      </w:r>
      <w:r w:rsidRPr="00D2718B">
        <w:rPr>
          <w:rFonts w:ascii="Segoe UI" w:eastAsia="Times New Roman" w:hAnsi="Segoe UI" w:cs="Segoe UI"/>
          <w:color w:val="0089E1"/>
          <w:sz w:val="20"/>
          <w:szCs w:val="20"/>
          <w:lang w:eastAsia="es-CO"/>
        </w:rPr>
        <w:t>[40]</w:t>
      </w:r>
      <w:r w:rsidRPr="00D2718B">
        <w:rPr>
          <w:rFonts w:ascii="Arial" w:eastAsia="Times New Roman" w:hAnsi="Arial" w:cs="Arial"/>
          <w:color w:val="000000"/>
          <w:sz w:val="18"/>
          <w:szCs w:val="18"/>
          <w:lang w:eastAsia="es-CO"/>
        </w:rPr>
        <w:fldChar w:fldCharType="end"/>
      </w:r>
      <w:bookmarkEnd w:id="84"/>
      <w:r w:rsidRPr="00D2718B">
        <w:rPr>
          <w:rFonts w:ascii="Segoe UI" w:eastAsia="Times New Roman" w:hAnsi="Segoe UI" w:cs="Segoe UI"/>
          <w:color w:val="000000"/>
          <w:sz w:val="20"/>
          <w:szCs w:val="20"/>
          <w:lang w:eastAsia="es-CO"/>
        </w:rPr>
        <w:t> Folios 38, 41, 45, 48, 54, 62, 66 y 70 c.a.2</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20"/>
          <w:szCs w:val="20"/>
          <w:lang w:eastAsia="es-CO"/>
        </w:rPr>
        <w:t> </w:t>
      </w:r>
    </w:p>
    <w:bookmarkStart w:id="85" w:name="_ftn41"/>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Arial" w:eastAsia="Times New Roman" w:hAnsi="Arial" w:cs="Arial"/>
          <w:color w:val="000000"/>
          <w:sz w:val="18"/>
          <w:szCs w:val="18"/>
          <w:lang w:eastAsia="es-CO"/>
        </w:rPr>
        <w:fldChar w:fldCharType="begin"/>
      </w:r>
      <w:r w:rsidRPr="00D2718B">
        <w:rPr>
          <w:rFonts w:ascii="Arial" w:eastAsia="Times New Roman" w:hAnsi="Arial" w:cs="Arial"/>
          <w:color w:val="000000"/>
          <w:sz w:val="18"/>
          <w:szCs w:val="18"/>
          <w:lang w:eastAsia="es-CO"/>
        </w:rPr>
        <w:instrText xml:space="preserve"> HYPERLINK "http://www.ceta.org.co/html/vista_de_un_documento.asp?DocumentoID=28851" \l "_ftnref41" \o "" </w:instrText>
      </w:r>
      <w:r w:rsidRPr="00D2718B">
        <w:rPr>
          <w:rFonts w:ascii="Arial" w:eastAsia="Times New Roman" w:hAnsi="Arial" w:cs="Arial"/>
          <w:color w:val="000000"/>
          <w:sz w:val="18"/>
          <w:szCs w:val="18"/>
          <w:lang w:eastAsia="es-CO"/>
        </w:rPr>
        <w:fldChar w:fldCharType="separate"/>
      </w:r>
      <w:r w:rsidRPr="00D2718B">
        <w:rPr>
          <w:rFonts w:ascii="Segoe UI" w:eastAsia="Times New Roman" w:hAnsi="Segoe UI" w:cs="Segoe UI"/>
          <w:color w:val="0089E1"/>
          <w:sz w:val="20"/>
          <w:szCs w:val="20"/>
          <w:lang w:eastAsia="es-CO"/>
        </w:rPr>
        <w:t>[41]</w:t>
      </w:r>
      <w:r w:rsidRPr="00D2718B">
        <w:rPr>
          <w:rFonts w:ascii="Arial" w:eastAsia="Times New Roman" w:hAnsi="Arial" w:cs="Arial"/>
          <w:color w:val="000000"/>
          <w:sz w:val="18"/>
          <w:szCs w:val="18"/>
          <w:lang w:eastAsia="es-CO"/>
        </w:rPr>
        <w:fldChar w:fldCharType="end"/>
      </w:r>
      <w:bookmarkEnd w:id="85"/>
      <w:r w:rsidRPr="00D2718B">
        <w:rPr>
          <w:rFonts w:ascii="Segoe UI" w:eastAsia="Times New Roman" w:hAnsi="Segoe UI" w:cs="Segoe UI"/>
          <w:color w:val="000000"/>
          <w:sz w:val="20"/>
          <w:szCs w:val="20"/>
          <w:lang w:eastAsia="es-CO"/>
        </w:rPr>
        <w:t> Folios 39, 42, 46, 49, 55, 63, 67 y 71 c.a.2</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20"/>
          <w:szCs w:val="20"/>
          <w:lang w:eastAsia="es-CO"/>
        </w:rPr>
        <w:t> </w:t>
      </w:r>
    </w:p>
    <w:bookmarkStart w:id="86" w:name="_ftn42"/>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Arial" w:eastAsia="Times New Roman" w:hAnsi="Arial" w:cs="Arial"/>
          <w:color w:val="000000"/>
          <w:sz w:val="18"/>
          <w:szCs w:val="18"/>
          <w:lang w:eastAsia="es-CO"/>
        </w:rPr>
        <w:lastRenderedPageBreak/>
        <w:fldChar w:fldCharType="begin"/>
      </w:r>
      <w:r w:rsidRPr="00D2718B">
        <w:rPr>
          <w:rFonts w:ascii="Arial" w:eastAsia="Times New Roman" w:hAnsi="Arial" w:cs="Arial"/>
          <w:color w:val="000000"/>
          <w:sz w:val="18"/>
          <w:szCs w:val="18"/>
          <w:lang w:eastAsia="es-CO"/>
        </w:rPr>
        <w:instrText xml:space="preserve"> HYPERLINK "http://www.ceta.org.co/html/vista_de_un_documento.asp?DocumentoID=28851" \l "_ftnref42" \o "" </w:instrText>
      </w:r>
      <w:r w:rsidRPr="00D2718B">
        <w:rPr>
          <w:rFonts w:ascii="Arial" w:eastAsia="Times New Roman" w:hAnsi="Arial" w:cs="Arial"/>
          <w:color w:val="000000"/>
          <w:sz w:val="18"/>
          <w:szCs w:val="18"/>
          <w:lang w:eastAsia="es-CO"/>
        </w:rPr>
        <w:fldChar w:fldCharType="separate"/>
      </w:r>
      <w:r w:rsidRPr="00D2718B">
        <w:rPr>
          <w:rFonts w:ascii="Segoe UI" w:eastAsia="Times New Roman" w:hAnsi="Segoe UI" w:cs="Segoe UI"/>
          <w:color w:val="0089E1"/>
          <w:sz w:val="20"/>
          <w:szCs w:val="20"/>
          <w:lang w:eastAsia="es-CO"/>
        </w:rPr>
        <w:t>[42]</w:t>
      </w:r>
      <w:r w:rsidRPr="00D2718B">
        <w:rPr>
          <w:rFonts w:ascii="Arial" w:eastAsia="Times New Roman" w:hAnsi="Arial" w:cs="Arial"/>
          <w:color w:val="000000"/>
          <w:sz w:val="18"/>
          <w:szCs w:val="18"/>
          <w:lang w:eastAsia="es-CO"/>
        </w:rPr>
        <w:fldChar w:fldCharType="end"/>
      </w:r>
      <w:bookmarkEnd w:id="86"/>
      <w:r w:rsidRPr="00D2718B">
        <w:rPr>
          <w:rFonts w:ascii="Segoe UI" w:eastAsia="Times New Roman" w:hAnsi="Segoe UI" w:cs="Segoe UI"/>
          <w:color w:val="000000"/>
          <w:sz w:val="20"/>
          <w:szCs w:val="20"/>
          <w:lang w:eastAsia="es-CO"/>
        </w:rPr>
        <w:t> Folios 39, 42, 46, 49, 55, 63, 67 y 71 c.a.2</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20"/>
          <w:szCs w:val="20"/>
          <w:lang w:eastAsia="es-CO"/>
        </w:rPr>
        <w:t> </w:t>
      </w:r>
    </w:p>
    <w:bookmarkStart w:id="87" w:name="_ftn43"/>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Arial" w:eastAsia="Times New Roman" w:hAnsi="Arial" w:cs="Arial"/>
          <w:color w:val="000000"/>
          <w:sz w:val="18"/>
          <w:szCs w:val="18"/>
          <w:lang w:eastAsia="es-CO"/>
        </w:rPr>
        <w:fldChar w:fldCharType="begin"/>
      </w:r>
      <w:r w:rsidRPr="00D2718B">
        <w:rPr>
          <w:rFonts w:ascii="Arial" w:eastAsia="Times New Roman" w:hAnsi="Arial" w:cs="Arial"/>
          <w:color w:val="000000"/>
          <w:sz w:val="18"/>
          <w:szCs w:val="18"/>
          <w:lang w:eastAsia="es-CO"/>
        </w:rPr>
        <w:instrText xml:space="preserve"> HYPERLINK "http://www.ceta.org.co/html/vista_de_un_documento.asp?DocumentoID=28851" \l "_ftnref43" \o "" </w:instrText>
      </w:r>
      <w:r w:rsidRPr="00D2718B">
        <w:rPr>
          <w:rFonts w:ascii="Arial" w:eastAsia="Times New Roman" w:hAnsi="Arial" w:cs="Arial"/>
          <w:color w:val="000000"/>
          <w:sz w:val="18"/>
          <w:szCs w:val="18"/>
          <w:lang w:eastAsia="es-CO"/>
        </w:rPr>
        <w:fldChar w:fldCharType="separate"/>
      </w:r>
      <w:r w:rsidRPr="00D2718B">
        <w:rPr>
          <w:rFonts w:ascii="Segoe UI" w:eastAsia="Times New Roman" w:hAnsi="Segoe UI" w:cs="Segoe UI"/>
          <w:color w:val="0089E1"/>
          <w:sz w:val="20"/>
          <w:szCs w:val="20"/>
          <w:lang w:eastAsia="es-CO"/>
        </w:rPr>
        <w:t>[43]</w:t>
      </w:r>
      <w:r w:rsidRPr="00D2718B">
        <w:rPr>
          <w:rFonts w:ascii="Arial" w:eastAsia="Times New Roman" w:hAnsi="Arial" w:cs="Arial"/>
          <w:color w:val="000000"/>
          <w:sz w:val="18"/>
          <w:szCs w:val="18"/>
          <w:lang w:eastAsia="es-CO"/>
        </w:rPr>
        <w:fldChar w:fldCharType="end"/>
      </w:r>
      <w:bookmarkEnd w:id="87"/>
      <w:r w:rsidRPr="00D2718B">
        <w:rPr>
          <w:rFonts w:ascii="Segoe UI" w:eastAsia="Times New Roman" w:hAnsi="Segoe UI" w:cs="Segoe UI"/>
          <w:color w:val="000000"/>
          <w:sz w:val="20"/>
          <w:szCs w:val="20"/>
          <w:lang w:eastAsia="es-CO"/>
        </w:rPr>
        <w:t xml:space="preserve"> Sentencia de 4 de agosto de 2011, </w:t>
      </w:r>
      <w:proofErr w:type="spellStart"/>
      <w:r w:rsidRPr="00D2718B">
        <w:rPr>
          <w:rFonts w:ascii="Segoe UI" w:eastAsia="Times New Roman" w:hAnsi="Segoe UI" w:cs="Segoe UI"/>
          <w:color w:val="000000"/>
          <w:sz w:val="20"/>
          <w:szCs w:val="20"/>
          <w:lang w:eastAsia="es-CO"/>
        </w:rPr>
        <w:t>exp</w:t>
      </w:r>
      <w:proofErr w:type="spellEnd"/>
      <w:r w:rsidRPr="00D2718B">
        <w:rPr>
          <w:rFonts w:ascii="Segoe UI" w:eastAsia="Times New Roman" w:hAnsi="Segoe UI" w:cs="Segoe UI"/>
          <w:color w:val="000000"/>
          <w:sz w:val="20"/>
          <w:szCs w:val="20"/>
          <w:lang w:eastAsia="es-CO"/>
        </w:rPr>
        <w:t>. 17628, C.P. Martha Teresa Briceño de Valencia.</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20"/>
          <w:szCs w:val="20"/>
          <w:lang w:eastAsia="es-CO"/>
        </w:rPr>
        <w:t> </w:t>
      </w:r>
    </w:p>
    <w:bookmarkStart w:id="88" w:name="_ftn44"/>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Arial" w:eastAsia="Times New Roman" w:hAnsi="Arial" w:cs="Arial"/>
          <w:color w:val="000000"/>
          <w:sz w:val="18"/>
          <w:szCs w:val="18"/>
          <w:lang w:eastAsia="es-CO"/>
        </w:rPr>
        <w:fldChar w:fldCharType="begin"/>
      </w:r>
      <w:r w:rsidRPr="00D2718B">
        <w:rPr>
          <w:rFonts w:ascii="Arial" w:eastAsia="Times New Roman" w:hAnsi="Arial" w:cs="Arial"/>
          <w:color w:val="000000"/>
          <w:sz w:val="18"/>
          <w:szCs w:val="18"/>
          <w:lang w:eastAsia="es-CO"/>
        </w:rPr>
        <w:instrText xml:space="preserve"> HYPERLINK "http://www.ceta.org.co/html/vista_de_un_documento.asp?DocumentoID=28851" \l "_ftnref44" \o "" </w:instrText>
      </w:r>
      <w:r w:rsidRPr="00D2718B">
        <w:rPr>
          <w:rFonts w:ascii="Arial" w:eastAsia="Times New Roman" w:hAnsi="Arial" w:cs="Arial"/>
          <w:color w:val="000000"/>
          <w:sz w:val="18"/>
          <w:szCs w:val="18"/>
          <w:lang w:eastAsia="es-CO"/>
        </w:rPr>
        <w:fldChar w:fldCharType="separate"/>
      </w:r>
      <w:r w:rsidRPr="00D2718B">
        <w:rPr>
          <w:rFonts w:ascii="Segoe UI" w:eastAsia="Times New Roman" w:hAnsi="Segoe UI" w:cs="Segoe UI"/>
          <w:color w:val="0089E1"/>
          <w:sz w:val="20"/>
          <w:szCs w:val="20"/>
          <w:lang w:eastAsia="es-CO"/>
        </w:rPr>
        <w:t>[44]</w:t>
      </w:r>
      <w:r w:rsidRPr="00D2718B">
        <w:rPr>
          <w:rFonts w:ascii="Arial" w:eastAsia="Times New Roman" w:hAnsi="Arial" w:cs="Arial"/>
          <w:color w:val="000000"/>
          <w:sz w:val="18"/>
          <w:szCs w:val="18"/>
          <w:lang w:eastAsia="es-CO"/>
        </w:rPr>
        <w:fldChar w:fldCharType="end"/>
      </w:r>
      <w:bookmarkEnd w:id="88"/>
      <w:r w:rsidRPr="00D2718B">
        <w:rPr>
          <w:rFonts w:ascii="Segoe UI" w:eastAsia="Times New Roman" w:hAnsi="Segoe UI" w:cs="Segoe UI"/>
          <w:color w:val="000000"/>
          <w:sz w:val="20"/>
          <w:szCs w:val="20"/>
          <w:lang w:eastAsia="es-CO"/>
        </w:rPr>
        <w:t> Glosa que no fue discutida por el actor.</w:t>
      </w:r>
    </w:p>
    <w:p w:rsidR="00D2718B" w:rsidRPr="00D2718B" w:rsidRDefault="00D2718B" w:rsidP="00D2718B">
      <w:pPr>
        <w:spacing w:after="0" w:line="240" w:lineRule="auto"/>
        <w:jc w:val="both"/>
        <w:rPr>
          <w:rFonts w:ascii="Arial" w:eastAsia="Times New Roman" w:hAnsi="Arial" w:cs="Arial"/>
          <w:color w:val="000000"/>
          <w:sz w:val="18"/>
          <w:szCs w:val="18"/>
          <w:lang w:eastAsia="es-CO"/>
        </w:rPr>
      </w:pPr>
      <w:r w:rsidRPr="00D2718B">
        <w:rPr>
          <w:rFonts w:ascii="Segoe UI" w:eastAsia="Times New Roman" w:hAnsi="Segoe UI" w:cs="Segoe UI"/>
          <w:color w:val="000000"/>
          <w:sz w:val="20"/>
          <w:szCs w:val="20"/>
          <w:lang w:eastAsia="es-CO"/>
        </w:rPr>
        <w:t> </w:t>
      </w:r>
    </w:p>
    <w:bookmarkStart w:id="89" w:name="_ftn45"/>
    <w:p w:rsidR="00D2718B" w:rsidRPr="00D2718B" w:rsidRDefault="00D2718B" w:rsidP="00D2718B">
      <w:pPr>
        <w:spacing w:after="0" w:line="240" w:lineRule="auto"/>
        <w:jc w:val="both"/>
        <w:rPr>
          <w:rFonts w:eastAsia="Times New Roman" w:cs="Times New Roman"/>
          <w:color w:val="000000"/>
          <w:szCs w:val="24"/>
          <w:lang w:eastAsia="es-CO"/>
        </w:rPr>
      </w:pPr>
      <w:r w:rsidRPr="00D2718B">
        <w:rPr>
          <w:rFonts w:eastAsia="Times New Roman" w:cs="Times New Roman"/>
          <w:color w:val="000000"/>
          <w:szCs w:val="24"/>
          <w:lang w:eastAsia="es-CO"/>
        </w:rPr>
        <w:fldChar w:fldCharType="begin"/>
      </w:r>
      <w:r w:rsidRPr="00D2718B">
        <w:rPr>
          <w:rFonts w:eastAsia="Times New Roman" w:cs="Times New Roman"/>
          <w:color w:val="000000"/>
          <w:szCs w:val="24"/>
          <w:lang w:eastAsia="es-CO"/>
        </w:rPr>
        <w:instrText xml:space="preserve"> HYPERLINK "http://www.ceta.org.co/html/vista_de_un_documento.asp?DocumentoID=28851" \l "_ftnref45" \o "" </w:instrText>
      </w:r>
      <w:r w:rsidRPr="00D2718B">
        <w:rPr>
          <w:rFonts w:eastAsia="Times New Roman" w:cs="Times New Roman"/>
          <w:color w:val="000000"/>
          <w:szCs w:val="24"/>
          <w:lang w:eastAsia="es-CO"/>
        </w:rPr>
        <w:fldChar w:fldCharType="separate"/>
      </w:r>
      <w:r w:rsidRPr="00D2718B">
        <w:rPr>
          <w:rFonts w:ascii="Segoe UI" w:eastAsia="Times New Roman" w:hAnsi="Segoe UI" w:cs="Segoe UI"/>
          <w:color w:val="0089E1"/>
          <w:sz w:val="20"/>
          <w:szCs w:val="20"/>
          <w:lang w:eastAsia="es-CO"/>
        </w:rPr>
        <w:t>[45]</w:t>
      </w:r>
      <w:r w:rsidRPr="00D2718B">
        <w:rPr>
          <w:rFonts w:eastAsia="Times New Roman" w:cs="Times New Roman"/>
          <w:color w:val="000000"/>
          <w:szCs w:val="24"/>
          <w:lang w:eastAsia="es-CO"/>
        </w:rPr>
        <w:fldChar w:fldCharType="end"/>
      </w:r>
      <w:bookmarkEnd w:id="89"/>
      <w:r w:rsidRPr="00D2718B">
        <w:rPr>
          <w:rFonts w:ascii="Segoe UI" w:eastAsia="Times New Roman" w:hAnsi="Segoe UI" w:cs="Segoe UI"/>
          <w:color w:val="000000"/>
          <w:sz w:val="20"/>
          <w:szCs w:val="20"/>
          <w:lang w:eastAsia="es-CO"/>
        </w:rPr>
        <w:t xml:space="preserve"> Se reitera el criterio de la Sala expuesto en sentencia complementaria del 24 de julio de 2015, </w:t>
      </w:r>
      <w:proofErr w:type="spellStart"/>
      <w:r w:rsidRPr="00D2718B">
        <w:rPr>
          <w:rFonts w:ascii="Segoe UI" w:eastAsia="Times New Roman" w:hAnsi="Segoe UI" w:cs="Segoe UI"/>
          <w:color w:val="000000"/>
          <w:sz w:val="20"/>
          <w:szCs w:val="20"/>
          <w:lang w:eastAsia="es-CO"/>
        </w:rPr>
        <w:t>exp</w:t>
      </w:r>
      <w:proofErr w:type="spellEnd"/>
      <w:r w:rsidRPr="00D2718B">
        <w:rPr>
          <w:rFonts w:ascii="Segoe UI" w:eastAsia="Times New Roman" w:hAnsi="Segoe UI" w:cs="Segoe UI"/>
          <w:color w:val="000000"/>
          <w:sz w:val="20"/>
          <w:szCs w:val="20"/>
          <w:lang w:eastAsia="es-CO"/>
        </w:rPr>
        <w:t>. 20485, C.P. Martha Teresa Briceño de Valencia.</w:t>
      </w:r>
    </w:p>
    <w:p w:rsidR="00961BFA" w:rsidRDefault="00961BFA">
      <w:bookmarkStart w:id="90" w:name="_GoBack"/>
      <w:bookmarkEnd w:id="90"/>
    </w:p>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18B"/>
    <w:rsid w:val="0029351E"/>
    <w:rsid w:val="00961BFA"/>
    <w:rsid w:val="00B94BED"/>
    <w:rsid w:val="00D2718B"/>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B9B14-E4BB-4B8F-A07A-1E39B2990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D2718B"/>
  </w:style>
  <w:style w:type="character" w:customStyle="1" w:styleId="apple-converted-space">
    <w:name w:val="apple-converted-space"/>
    <w:basedOn w:val="Fuentedeprrafopredeter"/>
    <w:rsid w:val="00D2718B"/>
  </w:style>
  <w:style w:type="character" w:styleId="Hipervnculo">
    <w:name w:val="Hyperlink"/>
    <w:basedOn w:val="Fuentedeprrafopredeter"/>
    <w:uiPriority w:val="99"/>
    <w:semiHidden/>
    <w:unhideWhenUsed/>
    <w:rsid w:val="00D2718B"/>
    <w:rPr>
      <w:color w:val="0000FF"/>
      <w:u w:val="single"/>
    </w:rPr>
  </w:style>
  <w:style w:type="character" w:styleId="Hipervnculovisitado">
    <w:name w:val="FollowedHyperlink"/>
    <w:basedOn w:val="Fuentedeprrafopredeter"/>
    <w:uiPriority w:val="99"/>
    <w:semiHidden/>
    <w:unhideWhenUsed/>
    <w:rsid w:val="00D2718B"/>
    <w:rPr>
      <w:color w:val="800080"/>
      <w:u w:val="single"/>
    </w:rPr>
  </w:style>
  <w:style w:type="character" w:styleId="Refdenotaalpie">
    <w:name w:val="footnote reference"/>
    <w:basedOn w:val="Fuentedeprrafopredeter"/>
    <w:uiPriority w:val="99"/>
    <w:semiHidden/>
    <w:unhideWhenUsed/>
    <w:rsid w:val="00D2718B"/>
  </w:style>
  <w:style w:type="paragraph" w:styleId="Textonotapie">
    <w:name w:val="footnote text"/>
    <w:basedOn w:val="Normal"/>
    <w:link w:val="TextonotapieCar"/>
    <w:uiPriority w:val="99"/>
    <w:semiHidden/>
    <w:unhideWhenUsed/>
    <w:rsid w:val="00D2718B"/>
    <w:pPr>
      <w:spacing w:before="100" w:beforeAutospacing="1" w:after="100" w:afterAutospacing="1" w:line="240" w:lineRule="auto"/>
    </w:pPr>
    <w:rPr>
      <w:rFonts w:eastAsia="Times New Roman" w:cs="Times New Roman"/>
      <w:szCs w:val="24"/>
      <w:lang w:eastAsia="es-CO"/>
    </w:rPr>
  </w:style>
  <w:style w:type="character" w:customStyle="1" w:styleId="TextonotapieCar">
    <w:name w:val="Texto nota pie Car"/>
    <w:basedOn w:val="Fuentedeprrafopredeter"/>
    <w:link w:val="Textonotapie"/>
    <w:uiPriority w:val="99"/>
    <w:semiHidden/>
    <w:rsid w:val="00D2718B"/>
    <w:rPr>
      <w:rFonts w:eastAsia="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043761">
      <w:bodyDiv w:val="1"/>
      <w:marLeft w:val="0"/>
      <w:marRight w:val="0"/>
      <w:marTop w:val="0"/>
      <w:marBottom w:val="0"/>
      <w:divBdr>
        <w:top w:val="none" w:sz="0" w:space="0" w:color="auto"/>
        <w:left w:val="none" w:sz="0" w:space="0" w:color="auto"/>
        <w:bottom w:val="none" w:sz="0" w:space="0" w:color="auto"/>
        <w:right w:val="none" w:sz="0" w:space="0" w:color="auto"/>
      </w:divBdr>
      <w:divsChild>
        <w:div w:id="853031020">
          <w:marLeft w:val="0"/>
          <w:marRight w:val="0"/>
          <w:marTop w:val="0"/>
          <w:marBottom w:val="0"/>
          <w:divBdr>
            <w:top w:val="none" w:sz="0" w:space="0" w:color="auto"/>
            <w:left w:val="none" w:sz="0" w:space="0" w:color="auto"/>
            <w:bottom w:val="none" w:sz="0" w:space="0" w:color="auto"/>
            <w:right w:val="none" w:sz="0" w:space="0" w:color="auto"/>
          </w:divBdr>
        </w:div>
        <w:div w:id="745146170">
          <w:marLeft w:val="0"/>
          <w:marRight w:val="0"/>
          <w:marTop w:val="0"/>
          <w:marBottom w:val="0"/>
          <w:divBdr>
            <w:top w:val="none" w:sz="0" w:space="0" w:color="auto"/>
            <w:left w:val="none" w:sz="0" w:space="0" w:color="auto"/>
            <w:bottom w:val="none" w:sz="0" w:space="0" w:color="auto"/>
            <w:right w:val="none" w:sz="0" w:space="0" w:color="auto"/>
          </w:divBdr>
        </w:div>
        <w:div w:id="893465034">
          <w:marLeft w:val="0"/>
          <w:marRight w:val="0"/>
          <w:marTop w:val="0"/>
          <w:marBottom w:val="0"/>
          <w:divBdr>
            <w:top w:val="none" w:sz="0" w:space="0" w:color="auto"/>
            <w:left w:val="none" w:sz="0" w:space="0" w:color="auto"/>
            <w:bottom w:val="none" w:sz="0" w:space="0" w:color="auto"/>
            <w:right w:val="none" w:sz="0" w:space="0" w:color="auto"/>
          </w:divBdr>
        </w:div>
        <w:div w:id="943611727">
          <w:marLeft w:val="0"/>
          <w:marRight w:val="0"/>
          <w:marTop w:val="0"/>
          <w:marBottom w:val="0"/>
          <w:divBdr>
            <w:top w:val="none" w:sz="0" w:space="0" w:color="auto"/>
            <w:left w:val="none" w:sz="0" w:space="0" w:color="auto"/>
            <w:bottom w:val="none" w:sz="0" w:space="0" w:color="auto"/>
            <w:right w:val="none" w:sz="0" w:space="0" w:color="auto"/>
          </w:divBdr>
        </w:div>
        <w:div w:id="62917297">
          <w:marLeft w:val="0"/>
          <w:marRight w:val="0"/>
          <w:marTop w:val="0"/>
          <w:marBottom w:val="0"/>
          <w:divBdr>
            <w:top w:val="none" w:sz="0" w:space="0" w:color="auto"/>
            <w:left w:val="none" w:sz="0" w:space="0" w:color="auto"/>
            <w:bottom w:val="none" w:sz="0" w:space="0" w:color="auto"/>
            <w:right w:val="none" w:sz="0" w:space="0" w:color="auto"/>
          </w:divBdr>
        </w:div>
        <w:div w:id="1011492084">
          <w:marLeft w:val="0"/>
          <w:marRight w:val="0"/>
          <w:marTop w:val="0"/>
          <w:marBottom w:val="0"/>
          <w:divBdr>
            <w:top w:val="none" w:sz="0" w:space="0" w:color="auto"/>
            <w:left w:val="none" w:sz="0" w:space="0" w:color="auto"/>
            <w:bottom w:val="none" w:sz="0" w:space="0" w:color="auto"/>
            <w:right w:val="none" w:sz="0" w:space="0" w:color="auto"/>
          </w:divBdr>
        </w:div>
        <w:div w:id="1121192496">
          <w:marLeft w:val="0"/>
          <w:marRight w:val="0"/>
          <w:marTop w:val="0"/>
          <w:marBottom w:val="0"/>
          <w:divBdr>
            <w:top w:val="none" w:sz="0" w:space="0" w:color="auto"/>
            <w:left w:val="none" w:sz="0" w:space="0" w:color="auto"/>
            <w:bottom w:val="none" w:sz="0" w:space="0" w:color="auto"/>
            <w:right w:val="none" w:sz="0" w:space="0" w:color="auto"/>
          </w:divBdr>
        </w:div>
        <w:div w:id="1756239463">
          <w:marLeft w:val="0"/>
          <w:marRight w:val="0"/>
          <w:marTop w:val="0"/>
          <w:marBottom w:val="0"/>
          <w:divBdr>
            <w:top w:val="none" w:sz="0" w:space="0" w:color="auto"/>
            <w:left w:val="none" w:sz="0" w:space="0" w:color="auto"/>
            <w:bottom w:val="none" w:sz="0" w:space="0" w:color="auto"/>
            <w:right w:val="none" w:sz="0" w:space="0" w:color="auto"/>
          </w:divBdr>
        </w:div>
        <w:div w:id="43529403">
          <w:marLeft w:val="0"/>
          <w:marRight w:val="0"/>
          <w:marTop w:val="0"/>
          <w:marBottom w:val="0"/>
          <w:divBdr>
            <w:top w:val="none" w:sz="0" w:space="0" w:color="auto"/>
            <w:left w:val="none" w:sz="0" w:space="0" w:color="auto"/>
            <w:bottom w:val="none" w:sz="0" w:space="0" w:color="auto"/>
            <w:right w:val="none" w:sz="0" w:space="0" w:color="auto"/>
          </w:divBdr>
        </w:div>
        <w:div w:id="266548880">
          <w:marLeft w:val="0"/>
          <w:marRight w:val="0"/>
          <w:marTop w:val="0"/>
          <w:marBottom w:val="0"/>
          <w:divBdr>
            <w:top w:val="none" w:sz="0" w:space="0" w:color="auto"/>
            <w:left w:val="none" w:sz="0" w:space="0" w:color="auto"/>
            <w:bottom w:val="none" w:sz="0" w:space="0" w:color="auto"/>
            <w:right w:val="none" w:sz="0" w:space="0" w:color="auto"/>
          </w:divBdr>
        </w:div>
        <w:div w:id="945959885">
          <w:marLeft w:val="0"/>
          <w:marRight w:val="0"/>
          <w:marTop w:val="0"/>
          <w:marBottom w:val="0"/>
          <w:divBdr>
            <w:top w:val="none" w:sz="0" w:space="0" w:color="auto"/>
            <w:left w:val="none" w:sz="0" w:space="0" w:color="auto"/>
            <w:bottom w:val="none" w:sz="0" w:space="0" w:color="auto"/>
            <w:right w:val="none" w:sz="0" w:space="0" w:color="auto"/>
          </w:divBdr>
        </w:div>
        <w:div w:id="1301304947">
          <w:marLeft w:val="0"/>
          <w:marRight w:val="0"/>
          <w:marTop w:val="0"/>
          <w:marBottom w:val="0"/>
          <w:divBdr>
            <w:top w:val="none" w:sz="0" w:space="0" w:color="auto"/>
            <w:left w:val="none" w:sz="0" w:space="0" w:color="auto"/>
            <w:bottom w:val="none" w:sz="0" w:space="0" w:color="auto"/>
            <w:right w:val="none" w:sz="0" w:space="0" w:color="auto"/>
          </w:divBdr>
        </w:div>
        <w:div w:id="762458927">
          <w:marLeft w:val="0"/>
          <w:marRight w:val="0"/>
          <w:marTop w:val="0"/>
          <w:marBottom w:val="0"/>
          <w:divBdr>
            <w:top w:val="none" w:sz="0" w:space="0" w:color="auto"/>
            <w:left w:val="none" w:sz="0" w:space="0" w:color="auto"/>
            <w:bottom w:val="none" w:sz="0" w:space="0" w:color="auto"/>
            <w:right w:val="none" w:sz="0" w:space="0" w:color="auto"/>
          </w:divBdr>
        </w:div>
        <w:div w:id="443960598">
          <w:marLeft w:val="0"/>
          <w:marRight w:val="0"/>
          <w:marTop w:val="0"/>
          <w:marBottom w:val="0"/>
          <w:divBdr>
            <w:top w:val="none" w:sz="0" w:space="0" w:color="auto"/>
            <w:left w:val="none" w:sz="0" w:space="0" w:color="auto"/>
            <w:bottom w:val="none" w:sz="0" w:space="0" w:color="auto"/>
            <w:right w:val="none" w:sz="0" w:space="0" w:color="auto"/>
          </w:divBdr>
        </w:div>
        <w:div w:id="1866137891">
          <w:marLeft w:val="0"/>
          <w:marRight w:val="0"/>
          <w:marTop w:val="0"/>
          <w:marBottom w:val="0"/>
          <w:divBdr>
            <w:top w:val="none" w:sz="0" w:space="0" w:color="auto"/>
            <w:left w:val="none" w:sz="0" w:space="0" w:color="auto"/>
            <w:bottom w:val="none" w:sz="0" w:space="0" w:color="auto"/>
            <w:right w:val="none" w:sz="0" w:space="0" w:color="auto"/>
          </w:divBdr>
        </w:div>
        <w:div w:id="763914201">
          <w:marLeft w:val="0"/>
          <w:marRight w:val="0"/>
          <w:marTop w:val="0"/>
          <w:marBottom w:val="0"/>
          <w:divBdr>
            <w:top w:val="none" w:sz="0" w:space="0" w:color="auto"/>
            <w:left w:val="none" w:sz="0" w:space="0" w:color="auto"/>
            <w:bottom w:val="none" w:sz="0" w:space="0" w:color="auto"/>
            <w:right w:val="none" w:sz="0" w:space="0" w:color="auto"/>
          </w:divBdr>
        </w:div>
        <w:div w:id="207299317">
          <w:marLeft w:val="0"/>
          <w:marRight w:val="0"/>
          <w:marTop w:val="0"/>
          <w:marBottom w:val="0"/>
          <w:divBdr>
            <w:top w:val="none" w:sz="0" w:space="0" w:color="auto"/>
            <w:left w:val="none" w:sz="0" w:space="0" w:color="auto"/>
            <w:bottom w:val="none" w:sz="0" w:space="0" w:color="auto"/>
            <w:right w:val="none" w:sz="0" w:space="0" w:color="auto"/>
          </w:divBdr>
        </w:div>
        <w:div w:id="467016690">
          <w:marLeft w:val="0"/>
          <w:marRight w:val="0"/>
          <w:marTop w:val="0"/>
          <w:marBottom w:val="0"/>
          <w:divBdr>
            <w:top w:val="none" w:sz="0" w:space="0" w:color="auto"/>
            <w:left w:val="none" w:sz="0" w:space="0" w:color="auto"/>
            <w:bottom w:val="none" w:sz="0" w:space="0" w:color="auto"/>
            <w:right w:val="none" w:sz="0" w:space="0" w:color="auto"/>
          </w:divBdr>
        </w:div>
        <w:div w:id="448665286">
          <w:marLeft w:val="0"/>
          <w:marRight w:val="0"/>
          <w:marTop w:val="0"/>
          <w:marBottom w:val="0"/>
          <w:divBdr>
            <w:top w:val="none" w:sz="0" w:space="0" w:color="auto"/>
            <w:left w:val="none" w:sz="0" w:space="0" w:color="auto"/>
            <w:bottom w:val="none" w:sz="0" w:space="0" w:color="auto"/>
            <w:right w:val="none" w:sz="0" w:space="0" w:color="auto"/>
          </w:divBdr>
        </w:div>
        <w:div w:id="664669567">
          <w:marLeft w:val="0"/>
          <w:marRight w:val="0"/>
          <w:marTop w:val="0"/>
          <w:marBottom w:val="0"/>
          <w:divBdr>
            <w:top w:val="none" w:sz="0" w:space="0" w:color="auto"/>
            <w:left w:val="none" w:sz="0" w:space="0" w:color="auto"/>
            <w:bottom w:val="none" w:sz="0" w:space="0" w:color="auto"/>
            <w:right w:val="none" w:sz="0" w:space="0" w:color="auto"/>
          </w:divBdr>
        </w:div>
        <w:div w:id="1062561049">
          <w:marLeft w:val="0"/>
          <w:marRight w:val="0"/>
          <w:marTop w:val="0"/>
          <w:marBottom w:val="0"/>
          <w:divBdr>
            <w:top w:val="none" w:sz="0" w:space="0" w:color="auto"/>
            <w:left w:val="none" w:sz="0" w:space="0" w:color="auto"/>
            <w:bottom w:val="none" w:sz="0" w:space="0" w:color="auto"/>
            <w:right w:val="none" w:sz="0" w:space="0" w:color="auto"/>
          </w:divBdr>
        </w:div>
        <w:div w:id="117993003">
          <w:marLeft w:val="0"/>
          <w:marRight w:val="0"/>
          <w:marTop w:val="0"/>
          <w:marBottom w:val="0"/>
          <w:divBdr>
            <w:top w:val="none" w:sz="0" w:space="0" w:color="auto"/>
            <w:left w:val="none" w:sz="0" w:space="0" w:color="auto"/>
            <w:bottom w:val="none" w:sz="0" w:space="0" w:color="auto"/>
            <w:right w:val="none" w:sz="0" w:space="0" w:color="auto"/>
          </w:divBdr>
        </w:div>
        <w:div w:id="15037057">
          <w:marLeft w:val="0"/>
          <w:marRight w:val="0"/>
          <w:marTop w:val="0"/>
          <w:marBottom w:val="0"/>
          <w:divBdr>
            <w:top w:val="none" w:sz="0" w:space="0" w:color="auto"/>
            <w:left w:val="none" w:sz="0" w:space="0" w:color="auto"/>
            <w:bottom w:val="none" w:sz="0" w:space="0" w:color="auto"/>
            <w:right w:val="none" w:sz="0" w:space="0" w:color="auto"/>
          </w:divBdr>
        </w:div>
        <w:div w:id="1771853285">
          <w:marLeft w:val="0"/>
          <w:marRight w:val="0"/>
          <w:marTop w:val="0"/>
          <w:marBottom w:val="0"/>
          <w:divBdr>
            <w:top w:val="none" w:sz="0" w:space="0" w:color="auto"/>
            <w:left w:val="none" w:sz="0" w:space="0" w:color="auto"/>
            <w:bottom w:val="none" w:sz="0" w:space="0" w:color="auto"/>
            <w:right w:val="none" w:sz="0" w:space="0" w:color="auto"/>
          </w:divBdr>
        </w:div>
        <w:div w:id="1354765697">
          <w:marLeft w:val="0"/>
          <w:marRight w:val="0"/>
          <w:marTop w:val="0"/>
          <w:marBottom w:val="0"/>
          <w:divBdr>
            <w:top w:val="none" w:sz="0" w:space="0" w:color="auto"/>
            <w:left w:val="none" w:sz="0" w:space="0" w:color="auto"/>
            <w:bottom w:val="none" w:sz="0" w:space="0" w:color="auto"/>
            <w:right w:val="none" w:sz="0" w:space="0" w:color="auto"/>
          </w:divBdr>
        </w:div>
        <w:div w:id="2040430336">
          <w:marLeft w:val="0"/>
          <w:marRight w:val="0"/>
          <w:marTop w:val="0"/>
          <w:marBottom w:val="0"/>
          <w:divBdr>
            <w:top w:val="none" w:sz="0" w:space="0" w:color="auto"/>
            <w:left w:val="none" w:sz="0" w:space="0" w:color="auto"/>
            <w:bottom w:val="none" w:sz="0" w:space="0" w:color="auto"/>
            <w:right w:val="none" w:sz="0" w:space="0" w:color="auto"/>
          </w:divBdr>
        </w:div>
        <w:div w:id="1443065098">
          <w:marLeft w:val="0"/>
          <w:marRight w:val="0"/>
          <w:marTop w:val="0"/>
          <w:marBottom w:val="0"/>
          <w:divBdr>
            <w:top w:val="none" w:sz="0" w:space="0" w:color="auto"/>
            <w:left w:val="none" w:sz="0" w:space="0" w:color="auto"/>
            <w:bottom w:val="none" w:sz="0" w:space="0" w:color="auto"/>
            <w:right w:val="none" w:sz="0" w:space="0" w:color="auto"/>
          </w:divBdr>
        </w:div>
        <w:div w:id="1271014410">
          <w:marLeft w:val="0"/>
          <w:marRight w:val="0"/>
          <w:marTop w:val="0"/>
          <w:marBottom w:val="0"/>
          <w:divBdr>
            <w:top w:val="none" w:sz="0" w:space="0" w:color="auto"/>
            <w:left w:val="none" w:sz="0" w:space="0" w:color="auto"/>
            <w:bottom w:val="none" w:sz="0" w:space="0" w:color="auto"/>
            <w:right w:val="none" w:sz="0" w:space="0" w:color="auto"/>
          </w:divBdr>
        </w:div>
        <w:div w:id="578060089">
          <w:marLeft w:val="0"/>
          <w:marRight w:val="0"/>
          <w:marTop w:val="0"/>
          <w:marBottom w:val="0"/>
          <w:divBdr>
            <w:top w:val="none" w:sz="0" w:space="0" w:color="auto"/>
            <w:left w:val="none" w:sz="0" w:space="0" w:color="auto"/>
            <w:bottom w:val="none" w:sz="0" w:space="0" w:color="auto"/>
            <w:right w:val="none" w:sz="0" w:space="0" w:color="auto"/>
          </w:divBdr>
        </w:div>
        <w:div w:id="1560481491">
          <w:marLeft w:val="0"/>
          <w:marRight w:val="0"/>
          <w:marTop w:val="0"/>
          <w:marBottom w:val="0"/>
          <w:divBdr>
            <w:top w:val="none" w:sz="0" w:space="0" w:color="auto"/>
            <w:left w:val="none" w:sz="0" w:space="0" w:color="auto"/>
            <w:bottom w:val="none" w:sz="0" w:space="0" w:color="auto"/>
            <w:right w:val="none" w:sz="0" w:space="0" w:color="auto"/>
          </w:divBdr>
        </w:div>
        <w:div w:id="820384593">
          <w:marLeft w:val="0"/>
          <w:marRight w:val="0"/>
          <w:marTop w:val="0"/>
          <w:marBottom w:val="0"/>
          <w:divBdr>
            <w:top w:val="none" w:sz="0" w:space="0" w:color="auto"/>
            <w:left w:val="none" w:sz="0" w:space="0" w:color="auto"/>
            <w:bottom w:val="none" w:sz="0" w:space="0" w:color="auto"/>
            <w:right w:val="none" w:sz="0" w:space="0" w:color="auto"/>
          </w:divBdr>
        </w:div>
        <w:div w:id="104349462">
          <w:marLeft w:val="0"/>
          <w:marRight w:val="0"/>
          <w:marTop w:val="0"/>
          <w:marBottom w:val="0"/>
          <w:divBdr>
            <w:top w:val="none" w:sz="0" w:space="0" w:color="auto"/>
            <w:left w:val="none" w:sz="0" w:space="0" w:color="auto"/>
            <w:bottom w:val="none" w:sz="0" w:space="0" w:color="auto"/>
            <w:right w:val="none" w:sz="0" w:space="0" w:color="auto"/>
          </w:divBdr>
        </w:div>
        <w:div w:id="1310673890">
          <w:marLeft w:val="0"/>
          <w:marRight w:val="0"/>
          <w:marTop w:val="0"/>
          <w:marBottom w:val="0"/>
          <w:divBdr>
            <w:top w:val="none" w:sz="0" w:space="0" w:color="auto"/>
            <w:left w:val="none" w:sz="0" w:space="0" w:color="auto"/>
            <w:bottom w:val="none" w:sz="0" w:space="0" w:color="auto"/>
            <w:right w:val="none" w:sz="0" w:space="0" w:color="auto"/>
          </w:divBdr>
        </w:div>
        <w:div w:id="870343574">
          <w:marLeft w:val="0"/>
          <w:marRight w:val="0"/>
          <w:marTop w:val="0"/>
          <w:marBottom w:val="0"/>
          <w:divBdr>
            <w:top w:val="none" w:sz="0" w:space="0" w:color="auto"/>
            <w:left w:val="none" w:sz="0" w:space="0" w:color="auto"/>
            <w:bottom w:val="none" w:sz="0" w:space="0" w:color="auto"/>
            <w:right w:val="none" w:sz="0" w:space="0" w:color="auto"/>
          </w:divBdr>
        </w:div>
        <w:div w:id="72705598">
          <w:marLeft w:val="0"/>
          <w:marRight w:val="0"/>
          <w:marTop w:val="0"/>
          <w:marBottom w:val="0"/>
          <w:divBdr>
            <w:top w:val="none" w:sz="0" w:space="0" w:color="auto"/>
            <w:left w:val="none" w:sz="0" w:space="0" w:color="auto"/>
            <w:bottom w:val="none" w:sz="0" w:space="0" w:color="auto"/>
            <w:right w:val="none" w:sz="0" w:space="0" w:color="auto"/>
          </w:divBdr>
        </w:div>
        <w:div w:id="175194219">
          <w:marLeft w:val="0"/>
          <w:marRight w:val="0"/>
          <w:marTop w:val="0"/>
          <w:marBottom w:val="0"/>
          <w:divBdr>
            <w:top w:val="none" w:sz="0" w:space="0" w:color="auto"/>
            <w:left w:val="none" w:sz="0" w:space="0" w:color="auto"/>
            <w:bottom w:val="none" w:sz="0" w:space="0" w:color="auto"/>
            <w:right w:val="none" w:sz="0" w:space="0" w:color="auto"/>
          </w:divBdr>
        </w:div>
        <w:div w:id="1417171096">
          <w:marLeft w:val="0"/>
          <w:marRight w:val="0"/>
          <w:marTop w:val="0"/>
          <w:marBottom w:val="0"/>
          <w:divBdr>
            <w:top w:val="none" w:sz="0" w:space="0" w:color="auto"/>
            <w:left w:val="none" w:sz="0" w:space="0" w:color="auto"/>
            <w:bottom w:val="none" w:sz="0" w:space="0" w:color="auto"/>
            <w:right w:val="none" w:sz="0" w:space="0" w:color="auto"/>
          </w:divBdr>
        </w:div>
        <w:div w:id="1819371716">
          <w:marLeft w:val="0"/>
          <w:marRight w:val="0"/>
          <w:marTop w:val="0"/>
          <w:marBottom w:val="0"/>
          <w:divBdr>
            <w:top w:val="none" w:sz="0" w:space="0" w:color="auto"/>
            <w:left w:val="none" w:sz="0" w:space="0" w:color="auto"/>
            <w:bottom w:val="none" w:sz="0" w:space="0" w:color="auto"/>
            <w:right w:val="none" w:sz="0" w:space="0" w:color="auto"/>
          </w:divBdr>
        </w:div>
        <w:div w:id="1506170956">
          <w:marLeft w:val="0"/>
          <w:marRight w:val="0"/>
          <w:marTop w:val="0"/>
          <w:marBottom w:val="0"/>
          <w:divBdr>
            <w:top w:val="none" w:sz="0" w:space="0" w:color="auto"/>
            <w:left w:val="none" w:sz="0" w:space="0" w:color="auto"/>
            <w:bottom w:val="none" w:sz="0" w:space="0" w:color="auto"/>
            <w:right w:val="none" w:sz="0" w:space="0" w:color="auto"/>
          </w:divBdr>
        </w:div>
        <w:div w:id="281770993">
          <w:marLeft w:val="0"/>
          <w:marRight w:val="0"/>
          <w:marTop w:val="0"/>
          <w:marBottom w:val="0"/>
          <w:divBdr>
            <w:top w:val="none" w:sz="0" w:space="0" w:color="auto"/>
            <w:left w:val="none" w:sz="0" w:space="0" w:color="auto"/>
            <w:bottom w:val="none" w:sz="0" w:space="0" w:color="auto"/>
            <w:right w:val="none" w:sz="0" w:space="0" w:color="auto"/>
          </w:divBdr>
        </w:div>
        <w:div w:id="94592744">
          <w:marLeft w:val="0"/>
          <w:marRight w:val="0"/>
          <w:marTop w:val="0"/>
          <w:marBottom w:val="0"/>
          <w:divBdr>
            <w:top w:val="none" w:sz="0" w:space="0" w:color="auto"/>
            <w:left w:val="none" w:sz="0" w:space="0" w:color="auto"/>
            <w:bottom w:val="none" w:sz="0" w:space="0" w:color="auto"/>
            <w:right w:val="none" w:sz="0" w:space="0" w:color="auto"/>
          </w:divBdr>
        </w:div>
        <w:div w:id="527916408">
          <w:marLeft w:val="0"/>
          <w:marRight w:val="0"/>
          <w:marTop w:val="0"/>
          <w:marBottom w:val="0"/>
          <w:divBdr>
            <w:top w:val="none" w:sz="0" w:space="0" w:color="auto"/>
            <w:left w:val="none" w:sz="0" w:space="0" w:color="auto"/>
            <w:bottom w:val="none" w:sz="0" w:space="0" w:color="auto"/>
            <w:right w:val="none" w:sz="0" w:space="0" w:color="auto"/>
          </w:divBdr>
        </w:div>
        <w:div w:id="1882018077">
          <w:marLeft w:val="0"/>
          <w:marRight w:val="0"/>
          <w:marTop w:val="0"/>
          <w:marBottom w:val="0"/>
          <w:divBdr>
            <w:top w:val="none" w:sz="0" w:space="0" w:color="auto"/>
            <w:left w:val="none" w:sz="0" w:space="0" w:color="auto"/>
            <w:bottom w:val="none" w:sz="0" w:space="0" w:color="auto"/>
            <w:right w:val="none" w:sz="0" w:space="0" w:color="auto"/>
          </w:divBdr>
        </w:div>
        <w:div w:id="1845120972">
          <w:marLeft w:val="0"/>
          <w:marRight w:val="0"/>
          <w:marTop w:val="0"/>
          <w:marBottom w:val="0"/>
          <w:divBdr>
            <w:top w:val="none" w:sz="0" w:space="0" w:color="auto"/>
            <w:left w:val="none" w:sz="0" w:space="0" w:color="auto"/>
            <w:bottom w:val="none" w:sz="0" w:space="0" w:color="auto"/>
            <w:right w:val="none" w:sz="0" w:space="0" w:color="auto"/>
          </w:divBdr>
        </w:div>
        <w:div w:id="1767455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ta.org.co/html/vista_de_un_articulo.asp?Norma=923" TargetMode="External"/><Relationship Id="rId18" Type="http://schemas.openxmlformats.org/officeDocument/2006/relationships/hyperlink" Target="http://www.ceta.org.co/html/vista_de_un_articulo.asp?Norma=850" TargetMode="External"/><Relationship Id="rId26" Type="http://schemas.openxmlformats.org/officeDocument/2006/relationships/hyperlink" Target="http://www.ceta.org.co/html/vista_de_un_articulo.asp?Norma=125" TargetMode="External"/><Relationship Id="rId39" Type="http://schemas.openxmlformats.org/officeDocument/2006/relationships/hyperlink" Target="http://www.ceta.org.co/html/vista_de_un_articulo.asp?Norma=12013" TargetMode="External"/><Relationship Id="rId21" Type="http://schemas.openxmlformats.org/officeDocument/2006/relationships/hyperlink" Target="http://www.ceta.org.co/html/vista_de_un_articulo.asp?Norma=125" TargetMode="External"/><Relationship Id="rId34" Type="http://schemas.openxmlformats.org/officeDocument/2006/relationships/hyperlink" Target="http://www.ceta.org.co/html/vista_de_un_articulo.asp?Norma=125" TargetMode="External"/><Relationship Id="rId42" Type="http://schemas.openxmlformats.org/officeDocument/2006/relationships/hyperlink" Target="http://www.ceta.org.co/html/vista_de_un_articulo.asp?Norma=130" TargetMode="External"/><Relationship Id="rId47" Type="http://schemas.openxmlformats.org/officeDocument/2006/relationships/hyperlink" Target="http://www.ceta.org.co/html/vista_de_un_articulo.asp?Norma=125" TargetMode="External"/><Relationship Id="rId50" Type="http://schemas.openxmlformats.org/officeDocument/2006/relationships/hyperlink" Target="http://www.ceta.org.co/html/vista_de_un_articulo.asp?Norma=12013" TargetMode="External"/><Relationship Id="rId7" Type="http://schemas.openxmlformats.org/officeDocument/2006/relationships/hyperlink" Target="http://www.ceta.org.co/html/vista_de_un_articulo.asp?Norma=850" TargetMode="External"/><Relationship Id="rId2" Type="http://schemas.openxmlformats.org/officeDocument/2006/relationships/settings" Target="settings.xml"/><Relationship Id="rId16" Type="http://schemas.openxmlformats.org/officeDocument/2006/relationships/hyperlink" Target="http://www.ceta.org.co/html/vista_de_un_articulo.asp?Norma=125" TargetMode="External"/><Relationship Id="rId29" Type="http://schemas.openxmlformats.org/officeDocument/2006/relationships/hyperlink" Target="http://www.ceta.org.co/html/vista_de_un_articulo.asp?Norma=125" TargetMode="External"/><Relationship Id="rId11" Type="http://schemas.openxmlformats.org/officeDocument/2006/relationships/hyperlink" Target="http://www.ceta.org.co/html/vista_de_un_articulo.asp?Norma=920" TargetMode="External"/><Relationship Id="rId24" Type="http://schemas.openxmlformats.org/officeDocument/2006/relationships/hyperlink" Target="http://www.ceta.org.co/html/vista_de_un_articulo.asp?Norma=125" TargetMode="External"/><Relationship Id="rId32" Type="http://schemas.openxmlformats.org/officeDocument/2006/relationships/hyperlink" Target="http://www.ceta.org.co/html/vista_de_un_articulo.asp?Norma=125" TargetMode="External"/><Relationship Id="rId37" Type="http://schemas.openxmlformats.org/officeDocument/2006/relationships/hyperlink" Target="http://www.ceta.org.co/html/vista_de_un_articulo.asp?Norma=548" TargetMode="External"/><Relationship Id="rId40" Type="http://schemas.openxmlformats.org/officeDocument/2006/relationships/hyperlink" Target="http://www.ceta.org.co/html/vista_de_un_articulo.asp?Norma=125" TargetMode="External"/><Relationship Id="rId45" Type="http://schemas.openxmlformats.org/officeDocument/2006/relationships/hyperlink" Target="http://www.ceta.org.co/html/vista_de_un_articulo.asp?Norma=130" TargetMode="External"/><Relationship Id="rId53" Type="http://schemas.openxmlformats.org/officeDocument/2006/relationships/fontTable" Target="fontTable.xml"/><Relationship Id="rId5" Type="http://schemas.openxmlformats.org/officeDocument/2006/relationships/hyperlink" Target="http://www.ceta.org.co/html/vista_de_un_articulo.asp?Norma=99" TargetMode="External"/><Relationship Id="rId10" Type="http://schemas.openxmlformats.org/officeDocument/2006/relationships/hyperlink" Target="http://www.ceta.org.co/html/vista_de_un_articulo.asp?Norma=919" TargetMode="External"/><Relationship Id="rId19" Type="http://schemas.openxmlformats.org/officeDocument/2006/relationships/hyperlink" Target="http://www.ceta.org.co/html/vista_de_un_articulo.asp?Norma=804" TargetMode="External"/><Relationship Id="rId31" Type="http://schemas.openxmlformats.org/officeDocument/2006/relationships/hyperlink" Target="http://www.ceta.org.co/html/vista_de_un_articulo.asp?Norma=125" TargetMode="External"/><Relationship Id="rId44" Type="http://schemas.openxmlformats.org/officeDocument/2006/relationships/hyperlink" Target="http://www.ceta.org.co/html/vista_de_un_articulo.asp?Norma=130" TargetMode="External"/><Relationship Id="rId52" Type="http://schemas.openxmlformats.org/officeDocument/2006/relationships/hyperlink" Target="http://www.ceta.org.co/html/vista_de_un_articulo.asp?Norma=12018" TargetMode="External"/><Relationship Id="rId4" Type="http://schemas.openxmlformats.org/officeDocument/2006/relationships/hyperlink" Target="http://www.ceta.org.co/html/vista_de_un_articulo.asp?Norma=125" TargetMode="External"/><Relationship Id="rId9" Type="http://schemas.openxmlformats.org/officeDocument/2006/relationships/hyperlink" Target="http://www.ceta.org.co/html/vista_de_un_articulo.asp?Norma=934" TargetMode="External"/><Relationship Id="rId14" Type="http://schemas.openxmlformats.org/officeDocument/2006/relationships/hyperlink" Target="http://www.ceta.org.co/html/vista_de_un_articulo.asp?Norma=125" TargetMode="External"/><Relationship Id="rId22" Type="http://schemas.openxmlformats.org/officeDocument/2006/relationships/hyperlink" Target="http://www.ceta.org.co/html/vista_de_un_articulo.asp?Norma=12013" TargetMode="External"/><Relationship Id="rId27" Type="http://schemas.openxmlformats.org/officeDocument/2006/relationships/hyperlink" Target="http://www.ceta.org.co/html/vista_de_un_articulo.asp?Norma=125" TargetMode="External"/><Relationship Id="rId30" Type="http://schemas.openxmlformats.org/officeDocument/2006/relationships/hyperlink" Target="http://www.ceta.org.co/html/vista_de_un_articulo.asp?Norma=125" TargetMode="External"/><Relationship Id="rId35" Type="http://schemas.openxmlformats.org/officeDocument/2006/relationships/hyperlink" Target="http://www.ceta.org.co/html/vista_de_un_articulo.asp?Norma=12013" TargetMode="External"/><Relationship Id="rId43" Type="http://schemas.openxmlformats.org/officeDocument/2006/relationships/hyperlink" Target="http://www.ceta.org.co/html/vista_de_un_articulo.asp?Norma=130" TargetMode="External"/><Relationship Id="rId48" Type="http://schemas.openxmlformats.org/officeDocument/2006/relationships/hyperlink" Target="http://www.ceta.org.co/html/vista_de_un_articulo.asp?Norma=125" TargetMode="External"/><Relationship Id="rId8" Type="http://schemas.openxmlformats.org/officeDocument/2006/relationships/hyperlink" Target="http://www.ceta.org.co/html/vista_de_un_articulo.asp?Norma=933" TargetMode="External"/><Relationship Id="rId51" Type="http://schemas.openxmlformats.org/officeDocument/2006/relationships/hyperlink" Target="http://www.ceta.org.co/html/vista_de_un_articulo.asp?Norma=548" TargetMode="External"/><Relationship Id="rId3" Type="http://schemas.openxmlformats.org/officeDocument/2006/relationships/webSettings" Target="webSettings.xml"/><Relationship Id="rId12" Type="http://schemas.openxmlformats.org/officeDocument/2006/relationships/hyperlink" Target="http://www.ceta.org.co/html/vista_de_un_articulo.asp?Norma=922" TargetMode="External"/><Relationship Id="rId17" Type="http://schemas.openxmlformats.org/officeDocument/2006/relationships/hyperlink" Target="http://www.ceta.org.co/html/vista_de_un_articulo.asp?Norma=125" TargetMode="External"/><Relationship Id="rId25" Type="http://schemas.openxmlformats.org/officeDocument/2006/relationships/hyperlink" Target="http://www.ceta.org.co/html/vista_de_un_articulo.asp?Norma=125" TargetMode="External"/><Relationship Id="rId33" Type="http://schemas.openxmlformats.org/officeDocument/2006/relationships/hyperlink" Target="http://www.ceta.org.co/html/vista_de_un_articulo.asp?Norma=125" TargetMode="External"/><Relationship Id="rId38" Type="http://schemas.openxmlformats.org/officeDocument/2006/relationships/hyperlink" Target="http://www.ceta.org.co/html/vista_de_un_articulo.asp?Norma=12013" TargetMode="External"/><Relationship Id="rId46" Type="http://schemas.openxmlformats.org/officeDocument/2006/relationships/hyperlink" Target="http://www.ceta.org.co/html/vista_de_un_articulo.asp?Norma=125" TargetMode="External"/><Relationship Id="rId20" Type="http://schemas.openxmlformats.org/officeDocument/2006/relationships/hyperlink" Target="http://www.ceta.org.co/html/vista_de_un_articulo.asp?Norma=125" TargetMode="External"/><Relationship Id="rId41" Type="http://schemas.openxmlformats.org/officeDocument/2006/relationships/hyperlink" Target="http://www.ceta.org.co/html/vista_de_un_articulo.asp?Norma=125"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eta.org.co/html/vista_de_un_articulo.asp?Norma=125" TargetMode="External"/><Relationship Id="rId15" Type="http://schemas.openxmlformats.org/officeDocument/2006/relationships/hyperlink" Target="http://www.ceta.org.co/html/vista_de_un_articulo.asp?Norma=125" TargetMode="External"/><Relationship Id="rId23" Type="http://schemas.openxmlformats.org/officeDocument/2006/relationships/hyperlink" Target="http://www.ceta.org.co/html/vista_de_un_articulo.asp?Norma=125" TargetMode="External"/><Relationship Id="rId28" Type="http://schemas.openxmlformats.org/officeDocument/2006/relationships/hyperlink" Target="http://www.ceta.org.co/html/vista_de_un_articulo.asp?Norma=12013" TargetMode="External"/><Relationship Id="rId36" Type="http://schemas.openxmlformats.org/officeDocument/2006/relationships/hyperlink" Target="http://www.ceta.org.co/html/vista_de_un_articulo.asp?Norma=12013" TargetMode="External"/><Relationship Id="rId49" Type="http://schemas.openxmlformats.org/officeDocument/2006/relationships/hyperlink" Target="http://www.ceta.org.co/html/vista_de_un_articulo.asp?Norma=80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9312</Words>
  <Characters>51217</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2016-05-21T13:52:00Z</dcterms:created>
  <dcterms:modified xsi:type="dcterms:W3CDTF">2016-05-21T13:55:00Z</dcterms:modified>
</cp:coreProperties>
</file>